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08020" w14:textId="773C838E" w:rsidR="00D004B5" w:rsidRPr="0041439A" w:rsidRDefault="00D004B5" w:rsidP="0041439A">
      <w:pPr>
        <w:spacing w:after="160" w:line="259" w:lineRule="auto"/>
        <w:jc w:val="both"/>
        <w:rPr>
          <w:rFonts w:ascii="Times New Roman" w:eastAsia="Calibri" w:hAnsi="Times New Roman"/>
          <w:noProof/>
          <w:szCs w:val="24"/>
        </w:rPr>
      </w:pPr>
      <w:bookmarkStart w:id="0" w:name="_GoBack"/>
      <w:bookmarkEnd w:id="0"/>
    </w:p>
    <w:p w14:paraId="27BBD657" w14:textId="606BFADC" w:rsidR="00C75334" w:rsidRPr="006037CE" w:rsidRDefault="00C75334" w:rsidP="002E74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296FD0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 w:rsidR="0072505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stavka 1. </w:t>
      </w:r>
      <w:r w:rsidR="0072505D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20. stavk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Zakona o osnivanju Agencije za ugljikovodike (Narodne novine, broj 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14/2014</w:t>
      </w:r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929AD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73/2017</w:t>
      </w:r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2243F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84</w:t>
      </w:r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/2021</w:t>
      </w:r>
      <w:r w:rsidR="00C929AD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Odluke Vlade Republike Hrvatske o davanju prethodne suglasnosti na </w:t>
      </w:r>
      <w:r w:rsidR="0015307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izmjene 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="0015307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Agencije za ugljikovodike (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URBROJ: od </w:t>
      </w:r>
      <w:proofErr w:type="spellStart"/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xx.xxxx</w:t>
      </w:r>
      <w:proofErr w:type="spellEnd"/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Upravno vijeće Agencije za ugljikovodike na </w:t>
      </w:r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F753E6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proofErr w:type="spellStart"/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xx.xxxx</w:t>
      </w:r>
      <w:proofErr w:type="spellEnd"/>
      <w:r w:rsidR="004F673C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7F1B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="00296FD0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donijelo</w:t>
      </w:r>
      <w:r w:rsidR="00296FD0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</w:p>
    <w:p w14:paraId="6C1A8605" w14:textId="77777777" w:rsidR="00C75334" w:rsidRPr="006037CE" w:rsidRDefault="00C75334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4536B" w14:textId="233A6F39" w:rsidR="00296FD0" w:rsidRPr="006037CE" w:rsidRDefault="00153070" w:rsidP="00BC71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IZMJENE </w:t>
      </w:r>
      <w:r w:rsidR="00BC71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296FD0" w:rsidRPr="006037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TATUT</w:t>
      </w:r>
      <w:r w:rsidRPr="006037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3173A" w:rsidRPr="006037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96FD0" w:rsidRPr="006037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AGENCIJE ZA UGLJIKOVODIKE</w:t>
      </w:r>
    </w:p>
    <w:p w14:paraId="65511566" w14:textId="77777777" w:rsidR="00C75334" w:rsidRPr="006037CE" w:rsidRDefault="00C75334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EC89D" w14:textId="77777777" w:rsidR="00296FD0" w:rsidRPr="006037CE" w:rsidRDefault="00296FD0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65311B7" w14:textId="77777777" w:rsidR="0053173A" w:rsidRPr="006037CE" w:rsidRDefault="0053173A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5C9CA" w14:textId="37C7C0D1" w:rsidR="00D93296" w:rsidRPr="006037CE" w:rsidRDefault="00A33F16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U Statutu</w:t>
      </w:r>
      <w:r w:rsidR="0053173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Agencije za ugljikovodike </w:t>
      </w:r>
      <w:r w:rsid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46A52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D63F2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012-03/14-01/06, </w:t>
      </w:r>
      <w:r w:rsidR="00F46A52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BD63F2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567-01/1-14-1 </w:t>
      </w:r>
      <w:r w:rsidR="0053173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07. ožujka. 2014. </w:t>
      </w:r>
      <w:r w:rsidR="00D004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E4A60" w:rsidRPr="001E4A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KLASA: 012-03/14-01/06, URBROJ: 405-01/1-18-3 od 22. veljače 2018. </w:t>
      </w:r>
      <w:r w:rsidR="00F46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1E4A60" w:rsidRPr="001E4A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037CE" w:rsidRPr="001E4A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="00D93296" w:rsidRPr="001E4A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lanak 7.</w:t>
      </w:r>
      <w:r w:rsidR="00D93296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60BB3215" w14:textId="77777777" w:rsidR="0053173A" w:rsidRPr="006037CE" w:rsidRDefault="0053173A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0743EB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„(1) U okviru svoje djelatnosti Agencija obavlja sljedeće poslove:</w:t>
      </w:r>
    </w:p>
    <w:p w14:paraId="24C53F27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E147829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pruža sustavnu operativnu podršku nadležnim tijelima u poslovima vezanim za istraživanje i eksploataciju ugljikovodika, geotermalnih voda za energetske svrhe, podzemno skladištenje plina, kao i trajno zbrinjavanje ugljikova dioksida u geološkim strukturama, u poslovima osiguranja obveznih zaliha nafte i naftnih derivata te u poslovima vezanim uz razvoj i primjenu novih održivih tehnologija korištenja obnovljivih izvora energije </w:t>
      </w:r>
    </w:p>
    <w:p w14:paraId="32529131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vodi i organizira </w:t>
      </w:r>
      <w:bookmarkStart w:id="1" w:name="_Hlk74562417"/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bazu geoloških i geofizičkih podataka, kao i podataka o bušotinama </w:t>
      </w:r>
      <w:bookmarkEnd w:id="1"/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radi upoznavanja potencijalnih investitora s ugljikovodičnim, geotermalnim i geološkim potencijalima za podzemno skladištenje plina i trajno zbrinjavanje ugljikova dioksida određenih područja Republike Hrvatske te priprema i organizira prezentacije</w:t>
      </w:r>
    </w:p>
    <w:p w14:paraId="2498C58A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daje prijedloge ministarstvu nadležnom za energetiku za donošenje odluke o provođenju nadmetanja za istraživanje i eksploataciju ugljikovodika, geotermalnih voda </w:t>
      </w:r>
      <w:r w:rsidRPr="006E1560"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energetske svrhe, podzemno skladištenje plina i trajno zbrinjavanje ugljikova dioksida, za odabir najboljeg ponuditelja za izdavanje dozvole i sklapanje ugovora, te sudjeluje u provedbi nadmetanja za istraživanje i eksploataciju ugljikovodika, geotermalnih voda za energetske svrhe, podzemno skladištenje plina i trajno zbrinjavanje ugljikova dioksida, u svrhu izdavanja dozvole i sklapanja ugovora</w:t>
      </w:r>
    </w:p>
    <w:p w14:paraId="13DF1694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utvrđuje troškove za istraživanje i eksploataciju ugljikovodika</w:t>
      </w:r>
    </w:p>
    <w:p w14:paraId="7071DE44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osigurava uvjete za učinkovito izvršavanje prava i obveza investitora na temelju izdanih dozvola za istraživanje, dozvola za eksploataciju i sklopljenih ugovora o istraživanju i eksploataciji ugljikovodika, ugovora o eksploataciji geotermalnih voda i ugovora o podzemnom skladištenju plina</w:t>
      </w:r>
    </w:p>
    <w:p w14:paraId="5B68C0E0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prati trendove i međunarodne standarde u istraživanju i eksploataciji</w:t>
      </w:r>
      <w:r w:rsidRPr="006037CE"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ugljikovodika, geotermalnih voda za energetske svrhe, podzemnog skladištenja plina, trajnog zbrinjavanja ugljikova dioksida te ostalih novih tehnologija korištenja obnovljivih izvora energije</w:t>
      </w:r>
    </w:p>
    <w:p w14:paraId="5CBC3A0C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izrađuje izvješća o izvršavanju obveza investitora na temelju izdanih dozvola za istraživanje, dozvola za eksploataciju i sklopljenih ugovora o istraživanju i eksploataciji ugljikovodika, ugovora o eksploataciji geotermalnih voda i ugovora o podzemnom skladištenju plina</w:t>
      </w:r>
    </w:p>
    <w:p w14:paraId="3C0BD50C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odobrava radne programe i budžete u skladu s odredbama propisa kojima se uređuje istraživanje i eksploatacija ugljikovodika</w:t>
      </w:r>
    </w:p>
    <w:p w14:paraId="2CF8FC69" w14:textId="77777777" w:rsidR="006037CE" w:rsidRPr="006037CE" w:rsidRDefault="006037CE" w:rsidP="006037C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kontrolira troškove po ugovoru o istraživanju i podjeli eksploatacije ugljikovodika u svrhu povrata troškova</w:t>
      </w:r>
    </w:p>
    <w:p w14:paraId="66F813D2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daje podršku investitoru u postupcima ishođenja svih potrebnih dokumenata i/ili isprava potrebnih za istraživanje i eksploataciju ugljikovodika, a sukladno propisima kojima se uređuje istraživanje i eksploatacija ugljikovodika i ugovoru sklopljenom između Vlade Republike Hrvatske i investitora </w:t>
      </w:r>
    </w:p>
    <w:p w14:paraId="561D4AA9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pruža pomoć investitoru u svrhu rješavanja imovinsko-pravnih odnosa za zemljišne čestice unutar istražnog prostora i/ili eksploatacijskog polja</w:t>
      </w:r>
    </w:p>
    <w:p w14:paraId="3CC61A66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izvještava Europsku komisiju o svim općim poteškoćama s kojima se susreću investitori prilikom pristupa ili provođenja aktivnosti po ovom Zakonu na koje im bude ukazano uz poštovanje poslovne tajne</w:t>
      </w:r>
    </w:p>
    <w:p w14:paraId="16EF8F34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objavljuje i dostavlja Europskoj komisiji godišnje izvješće koje sadržava informacije o geografskim područjima koja su otvorena za istraživanje i eksploataciju ugljikovodika, izdanim dozvolama za istraživanje i eksploataciju ugljikovodika, ovlaštenicima dozvola i njihovu sastavu te procijenjenim rezervama koje se nalaze na njezinu teritoriju, ako navedeno ne predstavlja poslovne informacije povjerljive prirode</w:t>
      </w:r>
    </w:p>
    <w:p w14:paraId="7F5570B0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kontrolira izvješća koja su investitori dužni dostaviti prilikom trajnog zbrinjavanja ugljikova dioksida u geološkim strukturama, poduzima potrebne korektivne mjere, odobrava privremeni plan postupanja nakon zatvaranja podzemnog skladišta te je odgovorna za praćenje, izvješćivanje i korektivne mjere nakon zatvaranja podzemnog skladišta</w:t>
      </w:r>
    </w:p>
    <w:p w14:paraId="0BD115FD" w14:textId="151F9029" w:rsidR="006037CE" w:rsidRPr="00F6202A" w:rsidRDefault="00F56F66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istraživanja i eksploatacije geotermalnih voda </w:t>
      </w:r>
      <w:r w:rsidR="00992607"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>te izra</w:t>
      </w:r>
      <w:r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>de</w:t>
      </w:r>
      <w:r w:rsidR="00992607"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naftno-rudarsk</w:t>
      </w:r>
      <w:r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>ih</w:t>
      </w:r>
      <w:r w:rsidR="00992607"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projek</w:t>
      </w:r>
      <w:r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>ata</w:t>
      </w:r>
      <w:r w:rsidR="00992607"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elaborat</w:t>
      </w:r>
      <w:r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992607" w:rsidRPr="00F6202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rezervama</w:t>
      </w:r>
    </w:p>
    <w:p w14:paraId="6F453CBC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7298F">
        <w:rPr>
          <w:rFonts w:ascii="Times New Roman" w:eastAsia="Calibri" w:hAnsi="Times New Roman" w:cs="Times New Roman"/>
          <w:sz w:val="24"/>
          <w:szCs w:val="24"/>
          <w:lang w:eastAsia="hr-HR"/>
        </w:rPr>
        <w:t>predlaže osnivanje razvojnog društva radi poticanja i razvoja potencijala u istraživanju i eksploataciji geotermalnih voda i trajnom zbrinjavanju ugljikova dioksida</w:t>
      </w: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Republici Hrvatskoj sukladno propisima koji uređuju istraživanje i eksploataciju geotermalnih voda</w:t>
      </w:r>
    </w:p>
    <w:p w14:paraId="4E37F07B" w14:textId="06140746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priprema i dostavlja inicijative za izradu i izmjenu i dopunu prostornog plana te sudjeluje u postupcima sukladno propisima iz područja prostornog uređenja u cilju provedbe </w:t>
      </w:r>
      <w:r w:rsidR="00B637A8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="00C63059"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kvirnog </w:t>
      </w: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plana i programa istraživanja i eksploatacije ugljikovodika na Jadranu i </w:t>
      </w:r>
      <w:r w:rsidR="00B637A8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="00C63059"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kvirnog </w:t>
      </w: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plana i programa istraživanja i eksploatacije ugljikovodika na kopnu sukladno propisima kojima se uređuje istraživanje i eksploatacija ugljikovodika</w:t>
      </w:r>
    </w:p>
    <w:p w14:paraId="53118602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trgovinu na veliko naftnim derivatima</w:t>
      </w:r>
    </w:p>
    <w:p w14:paraId="624EE712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trgovinu na veliko krutim, tekućim i plinovitim gorivima i srodnim proizvodima</w:t>
      </w:r>
    </w:p>
    <w:p w14:paraId="08039068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kupnju i prodaju nafte i naftnih derivata u svrhu formiranja i </w:t>
      </w:r>
      <w:proofErr w:type="spellStart"/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zanavljanja</w:t>
      </w:r>
      <w:proofErr w:type="spellEnd"/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zaliha</w:t>
      </w:r>
    </w:p>
    <w:p w14:paraId="0BC7AAB8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puštanje obveznih zaliha nafte i naftnih derivata na tržište u slučaju poremećaja opskrbe</w:t>
      </w:r>
    </w:p>
    <w:p w14:paraId="05ED0C85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organizaciju, nadzor i upravljanje obveznim zalihama nafte i naftnih derivata</w:t>
      </w:r>
    </w:p>
    <w:p w14:paraId="7205FC37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utvrđivanje uvjeta za skladištenje obveznih zaliha nafte i naftnih derivata</w:t>
      </w:r>
    </w:p>
    <w:p w14:paraId="6AA9C922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skladištenje naftnih derivata</w:t>
      </w:r>
    </w:p>
    <w:p w14:paraId="0E9600A3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skladištenje i/ili nadzor obveznih zaliha naftnih derivata drugih država koje se sukladno međudržavnim sporazumima i/ili direktivama Europske unije čuvaju na državnom području Republike Hrvatske</w:t>
      </w:r>
    </w:p>
    <w:p w14:paraId="2BA3142E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kupnju i/ili gradnju spremnika, pripadajućih lučkih i kopnenih postrojenja i instalacija te upravljanje njima</w:t>
      </w:r>
    </w:p>
    <w:p w14:paraId="2A49ED92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nadzor količine i kvalitete obveznih zaliha nafte, naftnih derivata i usluga</w:t>
      </w:r>
    </w:p>
    <w:p w14:paraId="712BD11A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prikupljanje i obrada podataka o stanju i prometu komercijalnih, operativnih i obveznih zaliha nafte, odnosno naftnih derivata</w:t>
      </w:r>
    </w:p>
    <w:p w14:paraId="3901D532" w14:textId="77777777" w:rsidR="006037CE" w:rsidRPr="006037CE" w:rsidRDefault="006037CE" w:rsidP="006037C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suradnju s ministarstvima i nadležnim inspekcijama sukladno posebnim propisima</w:t>
      </w:r>
    </w:p>
    <w:p w14:paraId="165CB7A8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provedbu međudržavnih ugovora i sporazuma</w:t>
      </w:r>
    </w:p>
    <w:p w14:paraId="7DFE6F5C" w14:textId="77777777" w:rsidR="006037CE" w:rsidRPr="006037CE" w:rsidRDefault="006037CE" w:rsidP="006037C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suradnju s domaćim i inozemnim energetskim tijelima i/ili subjektima.</w:t>
      </w:r>
    </w:p>
    <w:p w14:paraId="250319A1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FAFD0D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sz w:val="24"/>
          <w:szCs w:val="24"/>
          <w:lang w:eastAsia="hr-HR"/>
        </w:rPr>
        <w:t>(2) Agencija kao javnu ovlast obavlja posao vođenja registra ugovora u koji unosi osnovne podatke o svim sklopljenim ugovorima.</w:t>
      </w:r>
    </w:p>
    <w:p w14:paraId="71CA7ABE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FD3AC81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37C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(3) Osim poslova definiranih u stavcima 1. i 2. ovoga članka Agencija obavlja i druge poslove u skladu s ovim Zakonom i drugim propisima iz područja djelatnosti Agencije.</w:t>
      </w:r>
    </w:p>
    <w:p w14:paraId="768DCDC4" w14:textId="77777777" w:rsidR="006037CE" w:rsidRPr="006037CE" w:rsidRDefault="006037CE" w:rsidP="006037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7A047645" w14:textId="72C8F346" w:rsidR="00456AD1" w:rsidRDefault="006037CE" w:rsidP="006037CE">
      <w:pPr>
        <w:pStyle w:val="box455252"/>
        <w:spacing w:before="0" w:beforeAutospacing="0" w:after="0" w:afterAutospacing="0"/>
        <w:jc w:val="both"/>
      </w:pPr>
      <w:r w:rsidRPr="006037CE">
        <w:rPr>
          <w:rFonts w:eastAsia="Calibri"/>
          <w:color w:val="000000"/>
          <w:lang w:eastAsia="en-US"/>
        </w:rPr>
        <w:t>(4) Agencija u suradnji s ministarstvom nadležnim za energetiku vodi i ažurira registre na digitalnoj platformi sukladno propisima koji uređuju istraživanje i eksploataciju ugljikovodika, geotermalnih voda za energetske svrhe, podzemno skladištenje plina i trajno zbrinjavanje ugljikova dioksida.“</w:t>
      </w:r>
      <w:r w:rsidR="008F7024" w:rsidRPr="006037CE">
        <w:t>.</w:t>
      </w:r>
    </w:p>
    <w:p w14:paraId="74B1669F" w14:textId="10B670D8" w:rsidR="00992607" w:rsidRDefault="00992607" w:rsidP="00992607">
      <w:pPr>
        <w:pStyle w:val="box455252"/>
        <w:spacing w:before="0" w:beforeAutospacing="0" w:after="0" w:afterAutospacing="0"/>
        <w:jc w:val="both"/>
      </w:pPr>
    </w:p>
    <w:p w14:paraId="64940E4B" w14:textId="7EA0FC00" w:rsidR="00992607" w:rsidRDefault="00992607" w:rsidP="00992607">
      <w:pPr>
        <w:pStyle w:val="box455252"/>
        <w:spacing w:before="0" w:beforeAutospacing="0" w:after="0" w:afterAutospacing="0"/>
        <w:jc w:val="both"/>
      </w:pPr>
      <w:r w:rsidRPr="0027298F">
        <w:t>(5) Agencija je ovlaštena davati na korištenje podatke koji se prikupljeni pri istraživanju i eksploataciji sukladno Pravilniku koji donosi ministar nadležan za energetiku uz prethodnu suglasnost ministra nadležnog za financije.</w:t>
      </w:r>
    </w:p>
    <w:p w14:paraId="183A3F29" w14:textId="094F9ADE" w:rsidR="0053173A" w:rsidRPr="006037CE" w:rsidRDefault="0053173A" w:rsidP="0053173A">
      <w:pPr>
        <w:pStyle w:val="box455252"/>
        <w:spacing w:before="0" w:beforeAutospacing="0" w:after="0" w:afterAutospacing="0"/>
        <w:jc w:val="both"/>
      </w:pPr>
    </w:p>
    <w:p w14:paraId="0D95D8BF" w14:textId="770D8645" w:rsidR="00296FD0" w:rsidRDefault="00D93296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296FD0"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CE4F229" w14:textId="528BE69E" w:rsidR="001B51D6" w:rsidRDefault="001B51D6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B89D66" w14:textId="77777777" w:rsidR="00517C92" w:rsidRPr="00450572" w:rsidRDefault="00517C92" w:rsidP="0051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8. stavak 1. mijenja se i glasi:</w:t>
      </w:r>
    </w:p>
    <w:p w14:paraId="3E7B33D6" w14:textId="77777777" w:rsidR="00517C92" w:rsidRPr="00450572" w:rsidRDefault="00517C92" w:rsidP="0051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4ED16" w14:textId="0FF64F86" w:rsidR="00517C92" w:rsidRDefault="00517C92" w:rsidP="002E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„(1) Poslovanje Agencije treba voditi pažnjom dobrog gospodarstvenika, nastojeći da se svim resursima iz nadležnosti Agencije gospodari na optimalan način“.</w:t>
      </w:r>
    </w:p>
    <w:p w14:paraId="775575E8" w14:textId="77777777" w:rsidR="002E7409" w:rsidRPr="002E7409" w:rsidRDefault="002E7409" w:rsidP="002E7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EBE04" w14:textId="660D8569" w:rsidR="00517C92" w:rsidRDefault="00517C92" w:rsidP="0051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C1B300F" w14:textId="77777777" w:rsidR="00517C92" w:rsidRDefault="00517C92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E126EE" w14:textId="5C5F35E8" w:rsidR="001B51D6" w:rsidRPr="001B51D6" w:rsidRDefault="001B51D6" w:rsidP="001B5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B5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9. stavku 1. riječi: „15. veljače“ zamjenjuju se riječima: „30. travnja“</w:t>
      </w:r>
    </w:p>
    <w:p w14:paraId="4BA3FE97" w14:textId="6D6AC39D" w:rsidR="001B51D6" w:rsidRPr="001B51D6" w:rsidRDefault="001B51D6" w:rsidP="001B5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DF594B" w14:textId="49B661D3" w:rsidR="001B51D6" w:rsidRPr="001B51D6" w:rsidRDefault="001B51D6" w:rsidP="001B5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B5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9. stavku 2. riječi: „15. veljače“ zamjenjuju se riječima: „30. travnja“</w:t>
      </w:r>
    </w:p>
    <w:p w14:paraId="22325D09" w14:textId="0127F72B" w:rsidR="001B51D6" w:rsidRDefault="001B51D6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41D860" w14:textId="0E2CED6C" w:rsidR="001B51D6" w:rsidRPr="006037CE" w:rsidRDefault="001B51D6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517C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8A8CA7D" w14:textId="77777777" w:rsidR="0053173A" w:rsidRPr="006037CE" w:rsidRDefault="0053173A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61546D" w14:textId="77777777" w:rsidR="008F5DAB" w:rsidRPr="006037CE" w:rsidRDefault="0053173A" w:rsidP="0053173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8F5DAB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mijenja se i glasi: </w:t>
      </w:r>
    </w:p>
    <w:p w14:paraId="3FF0B336" w14:textId="77777777" w:rsidR="00456AD1" w:rsidRPr="006037CE" w:rsidRDefault="00456AD1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801C0" w14:textId="77777777" w:rsidR="003A7A5A" w:rsidRPr="006037CE" w:rsidRDefault="003A7A5A" w:rsidP="003A7A5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„(1) Agencija poslove iz svoje nadležnosti obavlja kroz ustrojstvene jedinice, u skladu s pravilnikom o radu i pravilnikom o organizaciji i sistematizaciji radnih mjesta.</w:t>
      </w:r>
    </w:p>
    <w:p w14:paraId="0407E225" w14:textId="00A4CC9A" w:rsidR="00D45F98" w:rsidRPr="006037CE" w:rsidRDefault="003A7A5A" w:rsidP="003A7A5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U Agenciji postoje sljedeće ustrojstvene jedinice u nadležnosti Uprave: Ured uprave, Sektor </w:t>
      </w:r>
      <w:r w:rsidR="000B58D7">
        <w:rPr>
          <w:rFonts w:ascii="Times New Roman" w:eastAsia="Times New Roman" w:hAnsi="Times New Roman" w:cs="Times New Roman"/>
          <w:sz w:val="24"/>
          <w:szCs w:val="24"/>
          <w:lang w:eastAsia="hr-HR"/>
        </w:rPr>
        <w:t>za opće, financijske i pravne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</w:t>
      </w:r>
      <w:r w:rsidR="00B04EE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Sektor za upravljanje podacima, Sektor za </w:t>
      </w:r>
      <w:r w:rsidR="009A2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zaštitu </w:t>
      </w:r>
      <w:r w:rsidR="006E1560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</w:t>
      </w:r>
      <w:r w:rsidR="009A2C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630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280">
        <w:rPr>
          <w:rFonts w:ascii="Times New Roman" w:eastAsia="Times New Roman" w:hAnsi="Times New Roman" w:cs="Times New Roman"/>
          <w:sz w:val="24"/>
          <w:szCs w:val="24"/>
          <w:lang w:eastAsia="hr-HR"/>
        </w:rPr>
        <w:t>i prostor</w:t>
      </w:r>
      <w:r w:rsidR="009A2CFC">
        <w:rPr>
          <w:rFonts w:ascii="Times New Roman" w:eastAsia="Times New Roman" w:hAnsi="Times New Roman" w:cs="Times New Roman"/>
          <w:sz w:val="24"/>
          <w:szCs w:val="24"/>
          <w:lang w:eastAsia="hr-HR"/>
        </w:rPr>
        <w:t>no uređenje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Sektor </w:t>
      </w:r>
      <w:r w:rsidRPr="001C47F2">
        <w:rPr>
          <w:rFonts w:ascii="Times New Roman" w:eastAsia="Times New Roman" w:hAnsi="Times New Roman" w:cs="Times New Roman"/>
          <w:sz w:val="24"/>
          <w:szCs w:val="24"/>
          <w:lang w:eastAsia="hr-HR"/>
        </w:rPr>
        <w:t>za istraživanje i eksploataciju</w:t>
      </w:r>
      <w:r w:rsidRPr="006E1560">
        <w:rPr>
          <w:rFonts w:ascii="Times New Roman" w:eastAsia="Times New Roman" w:hAnsi="Times New Roman" w:cs="Times New Roman"/>
          <w:sz w:val="24"/>
          <w:szCs w:val="24"/>
          <w:lang w:eastAsia="hr-HR"/>
        </w:rPr>
        <w:t>, Sektor za praćenje i podršku investitorima</w:t>
      </w:r>
      <w:r w:rsidR="00B04E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E1560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za obvezne zalihe nafte i naftnih derivata</w:t>
      </w:r>
      <w:r w:rsidR="00807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Sektor za </w:t>
      </w:r>
      <w:r w:rsidR="00CC751A">
        <w:rPr>
          <w:rFonts w:ascii="Times New Roman" w:eastAsia="Times New Roman" w:hAnsi="Times New Roman" w:cs="Times New Roman"/>
          <w:sz w:val="24"/>
          <w:szCs w:val="24"/>
          <w:lang w:eastAsia="hr-HR"/>
        </w:rPr>
        <w:t>geotermalnu energiju</w:t>
      </w:r>
      <w:r w:rsidR="00807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Sektor za poslovni razvoj i </w:t>
      </w:r>
      <w:r w:rsidR="000B58D7">
        <w:rPr>
          <w:rFonts w:ascii="Times New Roman" w:eastAsia="Times New Roman" w:hAnsi="Times New Roman" w:cs="Times New Roman"/>
          <w:sz w:val="24"/>
          <w:szCs w:val="24"/>
          <w:lang w:eastAsia="hr-HR"/>
        </w:rPr>
        <w:t>nove tehnologije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7B4C2E" w14:textId="77777777" w:rsidR="003A7A5A" w:rsidRPr="006037CE" w:rsidRDefault="003A7A5A" w:rsidP="003A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265707" w14:textId="77777777" w:rsidR="00536049" w:rsidRPr="006037CE" w:rsidRDefault="001751B6" w:rsidP="00175F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) Ured Uprave o</w:t>
      </w:r>
      <w:r w:rsidR="00175FF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rganizira i vodi 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sve administrativne poslove u skladu sa propisima kojima se uređuje uredsko poslovanje i zaštita arhivskog gradiva te ostalim pripadajućim zakonskim propisima i općim aktima Agencije, poslove</w:t>
      </w:r>
      <w:r w:rsidR="00175FF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službenog p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rotokola, poslove vezane uz odnose s javnošću, </w:t>
      </w:r>
      <w:r w:rsidR="00D45F98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informatičke podrške, 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poslove vezane uz svu internu i eksternu komunikaciju Agencije.</w:t>
      </w:r>
      <w:r w:rsidR="00E902F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E58AF9" w14:textId="77777777" w:rsidR="00536049" w:rsidRPr="006037CE" w:rsidRDefault="00536049" w:rsidP="00175F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114DB9" w14:textId="7A94E951" w:rsidR="003A7A5A" w:rsidRPr="006037CE" w:rsidRDefault="001751B6" w:rsidP="003A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(4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Sektor 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E32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opće, </w:t>
      </w:r>
      <w:r w:rsidR="006035A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</w:t>
      </w:r>
      <w:r w:rsidR="00E327A9">
        <w:rPr>
          <w:rFonts w:ascii="Times New Roman" w:eastAsia="Times New Roman" w:hAnsi="Times New Roman" w:cs="Times New Roman"/>
          <w:sz w:val="24"/>
          <w:szCs w:val="24"/>
          <w:lang w:eastAsia="hr-HR"/>
        </w:rPr>
        <w:t>sk</w:t>
      </w:r>
      <w:r w:rsidR="00603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i 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poslove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 organizira i vodi obavljanje pravnih i kadrovskih poslova te poslova nabave Agencije koji obuhvaćaju savjetovanje i pravnu podršku u radu svakog pojedinog Sektora Agencije, izradu općih akata Agencije i njihovo usklađenje sa zakonom, izradu ugovora, obavljanje poslova iz područja primjene Zakona o javnoj nabavi, planiranje i realizacija nabave, arhiviranje dokumentacije, kontinuirano praćenje zakonskih propisa te obavljanje drugih pravnih i stručnih poslova radi podršk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e radu ostalih Sektora Agencije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Sektor 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sve financijske i računovodstvene poslove Agencije, koji uključuju poslove evidencije dokumentacije, obračun osnovne plaće dodataka na plaću te ostalih materijalnih prava radnika Agencije. Izrađuje godišnji financijski plan proračuna Agencije</w:t>
      </w:r>
      <w:r w:rsidR="00B04E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prati izvršenje proračuna, izrađuje izvještaje za financijske i statističke potrebe, izrađuje </w:t>
      </w:r>
      <w:r w:rsidR="003A7A5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financijske izvještaje i planove te završni račun, vodi knjigu ulaznih i izlaznih računa Agencije, knjigu blagajne, te evidenciju putnih naloga i isplatu putnih troškova.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Sektora </w:t>
      </w:r>
      <w:r w:rsidR="00536049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6E1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opće, financijske i </w:t>
      </w:r>
      <w:r w:rsidR="006E1560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pravne </w:t>
      </w:r>
      <w:r w:rsidR="000B5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ustrojavaju se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službe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DF6ED3" w14:textId="77777777" w:rsidR="004D281C" w:rsidRPr="006037CE" w:rsidRDefault="004D281C" w:rsidP="003A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AB6C77" w14:textId="4B7FC159" w:rsidR="001751B6" w:rsidRPr="006037CE" w:rsidRDefault="003A7A5A" w:rsidP="00175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Sektor za upravljanje podacima zadužen je za prikupljanje i upravljanje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geološkim i geofizičkim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poda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cima, kao i podacima o bušotinama te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pripremu i </w:t>
      </w:r>
      <w:r w:rsidR="000B58D7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</w:t>
      </w:r>
      <w:r w:rsidR="000B58D7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prezentacij</w:t>
      </w:r>
      <w:r w:rsidR="000B58D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upoznavanja potencijalnih investitora s ugljikovodičnim i geotermalnim potencijalima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potencijalima za 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skladištenje prirodnog plina i trajno zbrinjavanje ugljikovog dioksida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određenih područja Republike Hrvatske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Također, je zadužen za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uspostavljanje i vođenje sobe 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podacima u kojoj je omogućen pregled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geološki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geofizički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>taka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bušotinama (tzv. data room) </w:t>
      </w:r>
      <w:r w:rsidR="001751B6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omogućavanja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pristupa od strane zainteresiranih investitora te nadzor nad investitorima dok pregledavaju dostupne podatke u skladu s pravilima koje 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="0069234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156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energetiku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751B6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23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Pregled podataka omogućava se i akademskim i obrazovnim zajednicama te državnim institucijama. </w:t>
      </w:r>
      <w:r w:rsidR="001751B6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Sektora za upravljanje podacima ustrojavaju se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službe</w:t>
      </w:r>
      <w:r w:rsidR="001751B6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6D0CF0" w14:textId="77777777" w:rsidR="003A7A5A" w:rsidRPr="006037CE" w:rsidRDefault="003A7A5A" w:rsidP="003A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628C2" w14:textId="42185229" w:rsidR="00110AA4" w:rsidRPr="006037CE" w:rsidRDefault="003A7A5A" w:rsidP="00110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516">
        <w:rPr>
          <w:rFonts w:ascii="Times New Roman" w:eastAsia="Times New Roman" w:hAnsi="Times New Roman" w:cs="Times New Roman"/>
          <w:sz w:val="24"/>
          <w:szCs w:val="24"/>
          <w:lang w:eastAsia="hr-HR"/>
        </w:rPr>
        <w:t>(6) Sektor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CB6DB3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zaštitu </w:t>
      </w:r>
      <w:r w:rsidR="00807280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</w:t>
      </w:r>
      <w:r w:rsidR="00CB6DB3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07280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prostor</w:t>
      </w:r>
      <w:r w:rsidR="00CB6DB3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no uređenje</w:t>
      </w:r>
      <w:r w:rsidR="00807280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zadužen je za praćenje obveza očuvanja prirode i okoliša i mjera sigurnosti za očuvanje istog, usklađivanje svih standarda zaštite okoliša i prirode</w:t>
      </w:r>
      <w:r w:rsidR="00913D1B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navedenih u projektima investitora prema nacionalnim propisima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E19A2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investitora u planiranju i provođenju potrebnih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19A2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koje se odnose na zaštitu prirode, okoliša i zdravlja ljudi te primjene potrebnih 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korektivn</w:t>
      </w:r>
      <w:r w:rsidR="000E19A2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5DD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mjer</w:t>
      </w:r>
      <w:r w:rsidR="000E19A2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247D9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</w:t>
      </w:r>
      <w:r w:rsidR="00D247D9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BA46D4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sudjelovanje </w:t>
      </w:r>
      <w:r w:rsidR="00517C92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strateškoj procjeni planova, programa i strategija </w:t>
      </w:r>
      <w:r w:rsidR="00D247D9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vezanih uz </w:t>
      </w:r>
      <w:r w:rsidR="00C677CF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</w:t>
      </w:r>
      <w:r w:rsidR="00D247D9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istraživanj</w:t>
      </w:r>
      <w:r w:rsidR="00C677CF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247D9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eksploatacij</w:t>
      </w:r>
      <w:r w:rsidR="00C677CF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247D9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47D9" w:rsidRPr="00450572">
        <w:rPr>
          <w:rFonts w:ascii="Times New Roman" w:eastAsia="Calibri" w:hAnsi="Times New Roman" w:cs="Times New Roman"/>
          <w:sz w:val="24"/>
          <w:szCs w:val="24"/>
          <w:lang w:eastAsia="hr-HR"/>
        </w:rPr>
        <w:t>ugljikovodika, geotermalne vode za energetske svrhe, podzemno skladištenje plina, kao i trajno zbrinjavanje ugljikova dioksida u geološkim strukturama</w:t>
      </w:r>
      <w:r w:rsidR="00913D1B" w:rsidRPr="0045057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te pripremu za provođenje zahvata s aspekta zaštite okoliša u smislu izrade projektne dokumentacije za </w:t>
      </w:r>
      <w:r w:rsidR="005D11D1" w:rsidRPr="00450572">
        <w:rPr>
          <w:rFonts w:ascii="Times New Roman" w:eastAsia="Calibri" w:hAnsi="Times New Roman" w:cs="Times New Roman"/>
          <w:sz w:val="24"/>
          <w:szCs w:val="24"/>
          <w:lang w:eastAsia="hr-HR"/>
        </w:rPr>
        <w:t>zahvate iz djelokruga djelatnosti</w:t>
      </w:r>
      <w:r w:rsidR="005D11D1" w:rsidRPr="0027298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Agencije.</w:t>
      </w:r>
      <w:r w:rsidR="0045604A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0AA4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A2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zaštitu </w:t>
      </w:r>
      <w:r w:rsidR="006E1560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</w:t>
      </w:r>
      <w:r w:rsidR="009A2C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5604A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280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A2CFC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</w:t>
      </w:r>
      <w:r w:rsidR="009A2CFC">
        <w:rPr>
          <w:rFonts w:ascii="Times New Roman" w:eastAsia="Times New Roman" w:hAnsi="Times New Roman" w:cs="Times New Roman"/>
          <w:sz w:val="24"/>
          <w:szCs w:val="24"/>
          <w:lang w:eastAsia="hr-HR"/>
        </w:rPr>
        <w:t>rnog uređenja</w:t>
      </w:r>
      <w:r w:rsidR="00807280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5DD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sudjeluje u radu </w:t>
      </w:r>
      <w:r w:rsidR="000E19A2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nekoliko međunarodnih radnih grupa </w:t>
      </w:r>
      <w:r w:rsidR="00110AA4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radu </w:t>
      </w:r>
      <w:r w:rsidR="00AC55DD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Koordinacije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sigurnost pri </w:t>
      </w:r>
      <w:proofErr w:type="spellStart"/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odobalnom</w:t>
      </w:r>
      <w:proofErr w:type="spellEnd"/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istraživanju i eksploataciji ugljikovodika</w:t>
      </w:r>
      <w:r w:rsidR="00AC55DD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Koordinacija)</w:t>
      </w:r>
      <w:r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0AA4" w:rsidRPr="0027298F">
        <w:rPr>
          <w:rFonts w:ascii="Times New Roman" w:eastAsia="Times New Roman" w:hAnsi="Times New Roman" w:cs="Times New Roman"/>
          <w:sz w:val="24"/>
          <w:szCs w:val="24"/>
          <w:lang w:eastAsia="hr-HR"/>
        </w:rPr>
        <w:t>koja je osnovana sukladno</w:t>
      </w:r>
      <w:r w:rsidR="00110AA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propisu kojim se uređuje sigurnost pri </w:t>
      </w:r>
      <w:proofErr w:type="spellStart"/>
      <w:r w:rsidR="00110AA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odobalnom</w:t>
      </w:r>
      <w:proofErr w:type="spellEnd"/>
      <w:r w:rsidR="00110AA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istraživanj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 eksploataciji ugljikovodika. Sektor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zadužen za </w:t>
      </w:r>
      <w:r w:rsidR="00202CD5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administrativne i operativne poslove Koordinacije, čuvanje dokumenata i vođenje arhive. </w:t>
      </w:r>
      <w:r w:rsidR="00C82368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je zadužen za pregled i analizu svih prostornih planova u svrhu podnošenja inicijativa za izradu, izmjenu i dopunu prostornih planova radi istraživanja i eksploatacije</w:t>
      </w:r>
      <w:r w:rsidR="00B26031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, izradu konkretnih prijedloga i rješenja koja se mogu implementirati u prostorne planove u svrhu realizacije projekata istraživanj</w:t>
      </w:r>
      <w:r w:rsidR="00736B7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26031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eksploatacije te za suradnju sa tijelima državne uprave i jedinicama lokalne uprave i područne (regionalne) samouprave po pitanju prostornog planiranja</w:t>
      </w:r>
      <w:r w:rsidR="00C82368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10AA4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Sektora za </w:t>
      </w:r>
      <w:r w:rsidR="00DC0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zaštitu </w:t>
      </w:r>
      <w:r w:rsidR="006E1560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</w:t>
      </w:r>
      <w:r w:rsidR="00DC094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13D1B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280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i prostor</w:t>
      </w:r>
      <w:r w:rsidR="00DC0941">
        <w:rPr>
          <w:rFonts w:ascii="Times New Roman" w:eastAsia="Times New Roman" w:hAnsi="Times New Roman" w:cs="Times New Roman"/>
          <w:sz w:val="24"/>
          <w:szCs w:val="24"/>
          <w:lang w:eastAsia="hr-HR"/>
        </w:rPr>
        <w:t>no uređenje</w:t>
      </w:r>
      <w:r w:rsidR="00110AA4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45E3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ustrojavaju se dvije službe</w:t>
      </w:r>
      <w:r w:rsidR="00110AA4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A65E96" w14:textId="77777777" w:rsidR="003A7A5A" w:rsidRPr="006037CE" w:rsidRDefault="003A7A5A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77E99" w14:textId="78BFCB36" w:rsidR="003A7A5A" w:rsidRPr="006037CE" w:rsidRDefault="003A7A5A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(7) </w:t>
      </w:r>
      <w:r w:rsidRPr="00B637A8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za istraživanje i eksploataciju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zadužen je za praćenje trendova i međunarodnih standarda u istraživanju i eksploataciji ugljikovodika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 skladištenje prirodnog plina i trajno zbrinjavanje ugljikovog dioksida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 sudjelovanje u pripremi d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okumenata potrebnih za naftno-rudarske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radove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sudjelovanje u provođenju jedinstvenog postupka za izdavanje dozvole i sklapanje ugovora, utvrđivanje troškova za istraživanje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i eksploataciju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 sudjelovanje u izradi izvješća o izvršavanju obveza investitora na temelju izdanih dozvola i sklopljenih ugovora po pitanju istraživanja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eksploatacije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sudjelovanje u praćenju količine istražnih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eksploatacijskih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radova i minimalni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koja će biti utrošena za izvođenje tih radova, mogućnost njihove revizije kao i visinu obeštećenja za neispunjene preuzetih obveza, sudjelovanje u odrezivanju uvjeta napuštanja istražnog prostora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eksploatacijskog polja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 sudjelovanje u utvrđiva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nju uvjeta likvidacije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bušotine i površinske infrastrukture s razrađenim tehničkim i financijskim uvjetima,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u određivanju uvjeta i načina obračuna povrata troškova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 pitanju eksploatacije, sudjelovanje u određivanju uvjeta i pravila za određivanje, razradu i financiranje uspostave eksploatacijskog polja, tijek eksploatacije te ukupni i godišnji program eksploatacije, sudjelovanje u određivanju uvjeta transporta ugljikovodika, uvjete za sanaciju eksploatacijskog polja, kao i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ostale poslove vezane uz istraživanje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i eksploataciju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Sektora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ustrojavaju se dvije službe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A10B92D" w14:textId="77777777" w:rsidR="003A7A5A" w:rsidRPr="006037CE" w:rsidRDefault="003A7A5A" w:rsidP="003A7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9CEE75" w14:textId="4967CBB7" w:rsidR="003A7A5A" w:rsidRPr="006037CE" w:rsidRDefault="003A7A5A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Sektor za praćenje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i podršku investitorima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zadužen je za izradu izvješća o izvršavanju obveza investitora na temelju izdanih dozvola i sklopljenih ugovora, kontrolu troškova po ugovoru u svrhu povrata troškova, praćenje ispunjenja obveza osiguranja radova, opreme i ljudi sukladno odredbama zakona, posebnih propisa Republike Hrvatske i međunarodnim standardima u istraživanju i eksploataciji, praćenje ispunjenja obveza odvajanja na poseban račun novčanog iznosa ili obvezu dostavljanja bankovne garancije za sanaciju istražnog prostora i/ili eksploatacijskog polja, vođenje registara 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ugovora, podršku investitorima te koordinaciju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investitora i nadležnih državnih tijela pri dobivanju dozvola potrebnih za izvršavanje obveza investitora na temelju sklopljenih ugovora, podrška investitoru u svrhu rješavanja imovin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skopravnih odnosa za zemljišne č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estice unutar istražnog prostora i/ili eksploatacijskog polja, izradu izvještaja prema Europskoj komisiji o svim općim poteškoćama s kojima se susreću investitori prilikom pristupa ili provođenja aktivnosti istraživanja i/ili eksploatacije ugljikovodika u trećim zemljama na koje im bude ukazano uz poštivanje poslovne tajne, sudjelovanje u određivanju prava vlasništva i prijenosa istoga nad imovinom nabavljenom i korištenom u tijeku izvršenja ugovora, sudjelovanje u određivanju pravila i uvjeta k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orištenja javne infrastrukture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 suradnju s državnim tijelima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tijelima iz E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uropske unije i svijeta, kao i sve druge poslove vezane uz praćenje i podršku investitorima. U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nutar Sektora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praćenje i podršku investitorima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ustrojavaju se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službe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74C2B1" w14:textId="77777777" w:rsidR="003A7A5A" w:rsidRPr="006037CE" w:rsidRDefault="003A7A5A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DBF03" w14:textId="61EBADD3" w:rsidR="003A7A5A" w:rsidRDefault="003A7A5A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(9) Sektor za obvezne zalihe nafte i naftnih derivata zadužen je za poslove formiranja, organizacije skladištenja, upravljanja i nadzora nad obveznim zal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ihama nafte i naftnih derivata,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kupnju i prodaju nafte i naftnih derivata u svrhu formiranja i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zanavljanja</w:t>
      </w:r>
      <w:proofErr w:type="spellEnd"/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zaliha, puštanje obveznih zaliha nafte i naftnih derivata na tržište u slučaju poremećaja opskrbe</w:t>
      </w:r>
      <w:r w:rsidR="00AC55D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organizaciju, nadzor i upravljanje obveznim zalihama nafte i naftnih derivata, utvrđivanje uvjeta za skladištenje obveznih zaliha nafte i naftnih derivata, skladištenje naftnih derivata, skladištenje i/ili nadzor obveznih zaliha naftnih derivata drugih država koje se sukladno međudržavnim sporazumima i/ili direktivama Europske unije čuvaju na državnom području Republike Hrvatske, nadzor količine i kvalitete nafte, naftnih derivata i usluga, prikupljanje i obradu podataka o stanju i prometu komercijalnih, operativnih i obveznih zaliha nafte, odnosno naftnih derivata.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Sektora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obvezne zalihe nafte i naftnih derivata 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ustrojavaju se </w:t>
      </w:r>
      <w:r w:rsidR="00E845E3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službe</w:t>
      </w:r>
      <w:r w:rsidR="004D281C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786B58" w14:textId="0BBAD3D5" w:rsidR="006C111E" w:rsidRDefault="006C111E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14C20" w14:textId="5BC63622" w:rsidR="00EF0761" w:rsidRPr="00457098" w:rsidRDefault="00EF0761" w:rsidP="008072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(10) Sektor za </w:t>
      </w:r>
      <w:r w:rsidR="005A13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geotermalnu energiju 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zadužen je za praćenje trendova i međunarodnih standarda u istraživanju i eksploataciji geotermalnih voda</w:t>
      </w:r>
      <w:r w:rsidR="005A13C0">
        <w:rPr>
          <w:rFonts w:ascii="Times New Roman" w:eastAsia="Times New Roman" w:hAnsi="Times New Roman" w:cs="Times New Roman"/>
          <w:sz w:val="24"/>
          <w:szCs w:val="24"/>
          <w:lang w:eastAsia="hr-HR"/>
        </w:rPr>
        <w:t>. Sektor za geoter</w:t>
      </w:r>
      <w:r w:rsidR="00BF3EAC">
        <w:rPr>
          <w:rFonts w:ascii="Times New Roman" w:eastAsia="Times New Roman" w:hAnsi="Times New Roman" w:cs="Times New Roman"/>
          <w:sz w:val="24"/>
          <w:szCs w:val="24"/>
          <w:lang w:eastAsia="hr-HR"/>
        </w:rPr>
        <w:t>malnu energiju</w:t>
      </w:r>
      <w:r w:rsidR="00BF3EAC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</w:t>
      </w:r>
      <w:r w:rsidR="00BF3EAC">
        <w:rPr>
          <w:rFonts w:ascii="Times New Roman" w:eastAsia="Times New Roman" w:hAnsi="Times New Roman" w:cs="Times New Roman"/>
          <w:sz w:val="24"/>
          <w:szCs w:val="24"/>
          <w:lang w:eastAsia="hr-HR"/>
        </w:rPr>
        <w:t>luje</w:t>
      </w:r>
      <w:r w:rsidR="005A13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određivanju uvjeta napuštanja istražnog prostora i eksploatacijskog polja, u utvrđivanju uvjeta likvidacije bušotine i površinske infrastrukture s razrađenim tehničkim i financijskim uvjetima</w:t>
      </w:r>
      <w:r w:rsidR="00BF3E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mogućnosti prenamjene postojećih bušotina za potrebe eksploatacije geotermalne vode </w:t>
      </w:r>
      <w:r w:rsidR="00DC0941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BF3E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energetske svrhe, </w:t>
      </w:r>
      <w:r w:rsidR="00992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nadzire 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 eksploatacije te ukupni i godišnji program eksploatacije, te </w:t>
      </w:r>
      <w:r w:rsidR="00992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sudjeluje u davanju 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uvjet</w:t>
      </w:r>
      <w:r w:rsidR="0099260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sanaciju eksploatacijskog polja</w:t>
      </w:r>
      <w:r w:rsidR="00992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Sektor obavlja 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ostale poslove vezane uz istraživanje i eksploataciju geotermalnih voda</w:t>
      </w:r>
      <w:r w:rsidR="00992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uključuje </w:t>
      </w:r>
      <w:r w:rsidR="005A13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procjenu geotermalnog potencijala, </w:t>
      </w:r>
      <w:r w:rsidR="009926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izradu naftno-rudarskih projekata i elaborata o rezervama, </w:t>
      </w:r>
      <w:r w:rsidR="00992607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provedbu i koordinaciju </w:t>
      </w:r>
      <w:r w:rsidR="00992607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naftno-rudarskih radova u svrhu ispitivanja geotermalnog potencijala na području Republike Hrvatske</w:t>
      </w:r>
      <w:r w:rsidR="0099260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C1A74" w:rsidRPr="0027298F">
        <w:rPr>
          <w:rFonts w:ascii="Times New Roman" w:eastAsia="Times New Roman" w:hAnsi="Times New Roman" w:cs="Times New Roman"/>
          <w:sz w:val="24"/>
          <w:szCs w:val="24"/>
        </w:rPr>
        <w:t>prati i</w:t>
      </w:r>
      <w:r w:rsidR="00992607" w:rsidRPr="0027298F">
        <w:rPr>
          <w:rFonts w:ascii="Times New Roman" w:eastAsia="Times New Roman" w:hAnsi="Times New Roman" w:cs="Times New Roman"/>
          <w:sz w:val="24"/>
          <w:szCs w:val="24"/>
        </w:rPr>
        <w:t xml:space="preserve"> sudjeluje u provedbi projekata financiranih iz fondova EU, 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>utvrđ</w:t>
      </w:r>
      <w:r w:rsidR="00C82368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>ivanje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preduvjet</w:t>
      </w:r>
      <w:r w:rsidR="00CB4A1D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osnivanje razvojnog društva </w:t>
      </w:r>
      <w:r w:rsidR="00272A5E">
        <w:rPr>
          <w:rFonts w:ascii="Times New Roman" w:eastAsia="Calibri" w:hAnsi="Times New Roman" w:cs="Times New Roman"/>
          <w:sz w:val="24"/>
          <w:szCs w:val="24"/>
          <w:lang w:eastAsia="hr-HR"/>
        </w:rPr>
        <w:t>s ciljem poticanja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istraživanj</w:t>
      </w:r>
      <w:r w:rsidR="00272A5E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eksploatacij</w:t>
      </w:r>
      <w:r w:rsidR="00272A5E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geotermalnih voda</w:t>
      </w:r>
      <w:r w:rsidR="00C82368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72A5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daljnjeg razvoja geotermalnog potencijala </w:t>
      </w:r>
      <w:r w:rsidR="00C82368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suradnju sa tijelima </w:t>
      </w:r>
      <w:r w:rsidR="00807280"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državne uprave, jedinicama lokalne i područne (regionalne) samouprave </w:t>
      </w:r>
      <w:r w:rsidRPr="00457098">
        <w:rPr>
          <w:rFonts w:ascii="Times New Roman" w:eastAsia="Calibri" w:hAnsi="Times New Roman" w:cs="Times New Roman"/>
          <w:sz w:val="24"/>
          <w:szCs w:val="24"/>
          <w:lang w:eastAsia="hr-HR"/>
        </w:rPr>
        <w:t>i pravnim osobama na područjima na kojima se koristi geotermalni potencijal</w:t>
      </w:r>
      <w:r w:rsidR="00B3568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5A13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2CFDA514" w14:textId="69A8CE24" w:rsidR="00EF0761" w:rsidRPr="00457098" w:rsidRDefault="00EF0761" w:rsidP="00EF07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Sektora </w:t>
      </w:r>
      <w:r w:rsidR="00807280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EF4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geotermalnu energiju </w:t>
      </w:r>
      <w:r w:rsidR="00807280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ustrojavaju se dvije službe.</w:t>
      </w:r>
    </w:p>
    <w:p w14:paraId="761817FE" w14:textId="77777777" w:rsidR="00EF0761" w:rsidRPr="00457098" w:rsidRDefault="00EF0761" w:rsidP="00EF07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AA72F" w14:textId="7B459AFF" w:rsidR="00CB4A1D" w:rsidRPr="006741F7" w:rsidRDefault="00EF0761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(11) Sektor za poslovni razvoj i </w:t>
      </w:r>
      <w:r w:rsidR="00E327A9">
        <w:rPr>
          <w:rFonts w:ascii="Times New Roman" w:eastAsia="Times New Roman" w:hAnsi="Times New Roman" w:cs="Times New Roman"/>
          <w:sz w:val="24"/>
          <w:szCs w:val="24"/>
          <w:lang w:eastAsia="hr-HR"/>
        </w:rPr>
        <w:t>nove tehnologije</w:t>
      </w:r>
      <w:r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6517" w:rsidRPr="00457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zadužen je za </w:t>
      </w:r>
      <w:r w:rsidR="00CF6517" w:rsidRPr="00457098">
        <w:rPr>
          <w:rFonts w:ascii="Times New Roman" w:eastAsia="Times New Roman" w:hAnsi="Times New Roman" w:cs="Times New Roman"/>
          <w:sz w:val="24"/>
          <w:szCs w:val="24"/>
        </w:rPr>
        <w:t xml:space="preserve">praćenje trendova i politike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razvoja energetskog sektora u Europi i svijetu, 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uradnj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u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s državnim tijelima i pravnim osoba</w:t>
      </w:r>
      <w:r w:rsidR="00CB4A1D" w:rsidRPr="006741F7">
        <w:rPr>
          <w:rFonts w:ascii="Times New Roman" w:eastAsia="Times New Roman" w:hAnsi="Times New Roman" w:cs="Times New Roman"/>
          <w:sz w:val="24"/>
          <w:szCs w:val="24"/>
        </w:rPr>
        <w:t>ma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koje sudjeluju u postupku energetske tranzicije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analiz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u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nacionalnih i europskih akata i dokumenata o energetskoj tranziciji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planiranje razvoja i načina korištenja obnovljivih izvora energije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razradu i implementaciju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projekata čiji je cilj iskorištavanje obnovljivih izvora energije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analiz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u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primjenjivih nov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h tehnologija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formira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prijedlog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za primjenu novih tehnologija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vođenje statistike i izračunavanje profitabilnost novih tehnologij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planiranje postupnog smanjenja iskorištavanja ugljikovodika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sastavljanje 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i predlaganje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>učinkovitog plana za unapređenje poslovanja Agencije</w:t>
      </w:r>
      <w:r w:rsidR="00C82368" w:rsidRPr="006741F7">
        <w:rPr>
          <w:rFonts w:ascii="Times New Roman" w:eastAsia="Times New Roman" w:hAnsi="Times New Roman" w:cs="Times New Roman"/>
          <w:sz w:val="24"/>
          <w:szCs w:val="24"/>
        </w:rPr>
        <w:t xml:space="preserve">. Sektor je također zadužen za </w:t>
      </w:r>
      <w:r w:rsidR="00CF6517" w:rsidRPr="0067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vezane uz pripremu, izradu, provedbu, nadzor i</w:t>
      </w:r>
      <w:r w:rsidR="00B26031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7899" w:rsidRPr="006741F7">
        <w:rPr>
          <w:rFonts w:ascii="Times New Roman" w:hAnsi="Times New Roman" w:cs="Times New Roman"/>
          <w:sz w:val="24"/>
          <w:szCs w:val="24"/>
          <w:shd w:val="clear" w:color="auto" w:fill="FFFFFF"/>
        </w:rPr>
        <w:t>koordinaci</w:t>
      </w:r>
      <w:r w:rsidR="00C82368" w:rsidRPr="006741F7">
        <w:rPr>
          <w:rFonts w:ascii="Times New Roman" w:hAnsi="Times New Roman" w:cs="Times New Roman"/>
          <w:sz w:val="24"/>
          <w:szCs w:val="24"/>
          <w:shd w:val="clear" w:color="auto" w:fill="FFFFFF"/>
        </w:rPr>
        <w:t>ju</w:t>
      </w:r>
      <w:r w:rsidR="00367899" w:rsidRPr="00674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4F91" w:rsidRPr="00674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svih aktivnosti na pripremi projekata sufinanciranih sredstvima EU radi učinkovitog korištenja europskih sredstava 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ciljevima projekta, opsegom projekata, planom rada, resursima projekta, projektnom komunikacijom, rizicima te kvalitetom rada. 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Sektoru se 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izrađuje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analiz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programa europskih strukturnih i investicijskih fondova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pra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te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dostupni EU fondov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određ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uju se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ciljeva koji 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bi se mogli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financirati iz EU fondova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priprema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ju se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i razrađuj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u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projektne ideje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 te se izrađuju konkretni projekti</w:t>
      </w:r>
      <w:r w:rsidR="00D73729" w:rsidRPr="006741F7">
        <w:rPr>
          <w:rFonts w:ascii="Times New Roman" w:eastAsia="Times New Roman" w:hAnsi="Times New Roman" w:cs="Times New Roman"/>
          <w:sz w:val="24"/>
          <w:szCs w:val="24"/>
        </w:rPr>
        <w:t xml:space="preserve"> u suradnji sa ostalim sektorima Agencije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, analiziraju se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rizi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ci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, pretpostavk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i uvjet</w:t>
      </w:r>
      <w:r w:rsidR="00CB4A1D" w:rsidRPr="006741F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za prijavu financiranja projekata iz EU fondova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, izrađuje se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ostal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dokumentacij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potrebn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za prijavu projekta sukladno otvorenim natječajima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pra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ti se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korištenj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financijskih sredstava dobivenih iz EU fondova za pojedini projekt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 odnosno s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udjelovanje u provedbi projekta financiranog iz EU fonda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osigurava koordinaciju i daje podršku drugim sektorima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 Agencije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 koji sudjeluju u provedbi projekata financiranih iz EU fondova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 xml:space="preserve">surađuje s državnim </w:t>
      </w:r>
      <w:r w:rsidR="00A05A4A" w:rsidRPr="006741F7">
        <w:rPr>
          <w:rFonts w:ascii="Times New Roman" w:eastAsia="Times New Roman" w:hAnsi="Times New Roman" w:cs="Times New Roman"/>
          <w:sz w:val="24"/>
          <w:szCs w:val="24"/>
        </w:rPr>
        <w:t xml:space="preserve">i javnopravnim </w:t>
      </w:r>
      <w:r w:rsidR="009A14E5" w:rsidRPr="006741F7">
        <w:rPr>
          <w:rFonts w:ascii="Times New Roman" w:eastAsia="Times New Roman" w:hAnsi="Times New Roman" w:cs="Times New Roman"/>
          <w:sz w:val="24"/>
          <w:szCs w:val="24"/>
        </w:rPr>
        <w:t>tijelima nadležnim za prijave i provedbu financiranja projekata iz EU fondova</w:t>
      </w:r>
      <w:r w:rsidR="00CB4A1D" w:rsidRPr="00674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B3C29" w14:textId="2DFF09AB" w:rsidR="00CB4A1D" w:rsidRPr="006741F7" w:rsidRDefault="00CB4A1D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1F7">
        <w:rPr>
          <w:rFonts w:ascii="Times New Roman" w:eastAsia="Times New Roman" w:hAnsi="Times New Roman" w:cs="Times New Roman"/>
          <w:sz w:val="24"/>
          <w:szCs w:val="24"/>
        </w:rPr>
        <w:t xml:space="preserve">Unutar Sektora </w:t>
      </w:r>
      <w:r w:rsidR="00807280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poslovni razvoj i </w:t>
      </w:r>
      <w:r w:rsidR="00CF3BA6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>nove tehnologije</w:t>
      </w:r>
      <w:r w:rsidR="00807280" w:rsidRPr="0067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741F7">
        <w:rPr>
          <w:rFonts w:ascii="Times New Roman" w:eastAsia="Times New Roman" w:hAnsi="Times New Roman" w:cs="Times New Roman"/>
          <w:sz w:val="24"/>
          <w:szCs w:val="24"/>
        </w:rPr>
        <w:t>ustrojavaju se dvije službe.</w:t>
      </w:r>
    </w:p>
    <w:p w14:paraId="0675D792" w14:textId="77777777" w:rsidR="003A7A5A" w:rsidRPr="006037CE" w:rsidRDefault="003A7A5A" w:rsidP="003A7A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DBAAB7" w14:textId="3E14038C" w:rsidR="003A7A5A" w:rsidRPr="006037CE" w:rsidRDefault="003A7A5A" w:rsidP="004D28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(1</w:t>
      </w:r>
      <w:r w:rsidR="00B72C1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) Na pravni status zaposlenika Agencije, odnosno na postupak ostvarivanja njihovih prava i obveza iz radnog odnosa primjenjuju se opći akti Agencije.</w:t>
      </w:r>
      <w:r w:rsidR="00175FF4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33134E8" w14:textId="77777777" w:rsidR="003A7A5A" w:rsidRPr="006037CE" w:rsidRDefault="003A7A5A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C756A9" w14:textId="5F2BF2DF" w:rsidR="00296FD0" w:rsidRPr="006037CE" w:rsidRDefault="00FB4941" w:rsidP="00531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517C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296FD0"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7547BF2" w14:textId="77777777" w:rsidR="0053173A" w:rsidRPr="006037CE" w:rsidRDefault="0053173A" w:rsidP="0053173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8C468" w14:textId="1EA7C224" w:rsidR="00446172" w:rsidRDefault="00257A69" w:rsidP="00B72C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17C92">
        <w:rPr>
          <w:rFonts w:ascii="Times New Roman" w:eastAsia="Times New Roman" w:hAnsi="Times New Roman" w:cs="Times New Roman"/>
          <w:sz w:val="24"/>
          <w:szCs w:val="24"/>
          <w:lang w:eastAsia="hr-HR"/>
        </w:rPr>
        <w:t>čl</w:t>
      </w:r>
      <w:r w:rsidR="00B72C17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517C92"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="00FB4941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13.</w:t>
      </w:r>
      <w:r w:rsidR="00B72C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446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 2. </w:t>
      </w:r>
      <w:r w:rsidR="00446172" w:rsidRPr="00446172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riječ: „središnjeg“ briše se</w:t>
      </w:r>
      <w:r w:rsidR="0044617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D86A76" w14:textId="77777777" w:rsidR="00446172" w:rsidRDefault="00446172" w:rsidP="00B72C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810FC" w14:textId="5A18A3DC" w:rsidR="008E7BCA" w:rsidRPr="006037CE" w:rsidRDefault="00446172" w:rsidP="00B72C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</w:t>
      </w:r>
      <w:r w:rsidR="00257A6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E7BCA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14:paraId="2F0099F8" w14:textId="77777777" w:rsidR="008E7BCA" w:rsidRPr="006037CE" w:rsidRDefault="008E7BCA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634A" w14:textId="31342B88" w:rsidR="00903988" w:rsidRDefault="00257A69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A69">
        <w:rPr>
          <w:rFonts w:ascii="Times New Roman" w:eastAsia="Times New Roman" w:hAnsi="Times New Roman" w:cs="Times New Roman"/>
          <w:sz w:val="24"/>
          <w:szCs w:val="24"/>
          <w:lang w:eastAsia="hr-HR"/>
        </w:rPr>
        <w:t>„(3) Članove Upravnog vijeća čine državni dužnosnici iz ministarstva nadležnog za energetiku, ministarstva nadležnog za financije i ministarstva nadležnog za prostorno uređenje te dva člana iz reda rukovodećih državnih službenika sa odgovarajućim stručnim znanjima iz područja energetike i gospodarstva ili iz reda znanstvenika i stručnjaka iz područja energetike i gospodarstva.“</w:t>
      </w:r>
    </w:p>
    <w:p w14:paraId="70CDCD00" w14:textId="77777777" w:rsidR="00257A69" w:rsidRPr="006037CE" w:rsidRDefault="00257A69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0F99B4" w14:textId="7E53192B" w:rsidR="00456AD1" w:rsidRDefault="00446172" w:rsidP="00257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</w:t>
      </w:r>
      <w:r w:rsidR="00257A69">
        <w:rPr>
          <w:rFonts w:ascii="Times New Roman" w:eastAsia="Times New Roman" w:hAnsi="Times New Roman" w:cs="Times New Roman"/>
          <w:sz w:val="24"/>
          <w:szCs w:val="24"/>
          <w:lang w:eastAsia="hr-HR"/>
        </w:rPr>
        <w:t>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="00257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14:paraId="54F97630" w14:textId="0137FB1D" w:rsidR="00446172" w:rsidRDefault="00446172" w:rsidP="00257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93BAF" w14:textId="1CA5C193" w:rsidR="00446172" w:rsidRDefault="00446172" w:rsidP="00257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46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Članove </w:t>
      </w:r>
      <w:r w:rsidR="00405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predsjednika </w:t>
      </w:r>
      <w:r w:rsidRPr="00446172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vijeća imenuje i razrješava dužnosti Vlada Republike Hrvatske</w:t>
      </w:r>
      <w:r w:rsidR="00405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prijedlog ministra nadležnog za energetiku</w:t>
      </w:r>
      <w:r w:rsidRPr="0044617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41CA0D2F" w14:textId="77777777" w:rsidR="00446172" w:rsidRDefault="00446172" w:rsidP="00257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85786" w14:textId="1DFD38BF" w:rsidR="00296FD0" w:rsidRPr="006037CE" w:rsidRDefault="007419F1" w:rsidP="0074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517C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296FD0" w:rsidRPr="00603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926DF2" w14:textId="77777777" w:rsidR="007419F1" w:rsidRPr="006037CE" w:rsidRDefault="007419F1" w:rsidP="00741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C7F89" w14:textId="7EA63DF8" w:rsidR="003D1F0B" w:rsidRDefault="00751DC7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25. mijenja se i glasi:</w:t>
      </w:r>
    </w:p>
    <w:p w14:paraId="4AA441EA" w14:textId="1A817A5D" w:rsidR="001E4A60" w:rsidRDefault="001E4A60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5FF1E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76554168"/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„(1) Sredstva za redovito obavljanje poslova iz djelokruga Agencije osiguravaju se u državnom proračunu Republike Hrvatske.</w:t>
      </w:r>
    </w:p>
    <w:p w14:paraId="6D18FCA2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0D1C7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(2) Agencija ostvaruje i prihode od prodaje ili zamjene imovine u vlasništvu države iz poslovanja obveznim zalihama nafte i naftnih derivata koji se uplaćuju u državni proračun Republike Hrvatske, a čija se namjena korištenja propisuje ovim Zakonom.</w:t>
      </w:r>
    </w:p>
    <w:p w14:paraId="1E9CB41C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B6508A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(3) Namjenskim trošenjem prihoda iz stavka 2. ovoga članka smatra se:</w:t>
      </w:r>
    </w:p>
    <w:p w14:paraId="793CAB13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podmirenje troškova kupnje nafte i naftnih derivata radi formiranja obveznih zaliha</w:t>
      </w:r>
    </w:p>
    <w:p w14:paraId="277BFC4D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podmirenje troškova osiguranja, skladištenja i </w:t>
      </w:r>
      <w:proofErr w:type="spellStart"/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zanavljanja</w:t>
      </w:r>
      <w:proofErr w:type="spellEnd"/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obveznih zaliha</w:t>
      </w:r>
    </w:p>
    <w:p w14:paraId="5A8AEE50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podmirenje troškova kontrole količine i kvalitete obveznih zaliha </w:t>
      </w:r>
    </w:p>
    <w:p w14:paraId="1EE552D3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podmirenje troškova rada naftnih terminala u vlasništvu ili suvlasništvu Agencije i instalacija na pomorskom dobru koje Agencija koristi na temelju valjanog pravnog osnova</w:t>
      </w:r>
    </w:p>
    <w:p w14:paraId="5EA7215F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podmirenje pratećih troškova u vezi sa stvaranjem preduvjeta za prihvat i skladištenje obveznih zaliha nafte i naftnih derivata, a s ciljem povećanja sigurnosti prijevoza i skladištenja opasnih tereta i ograničavanja mogućih negativnih utjecaja na okoliš</w:t>
      </w:r>
    </w:p>
    <w:p w14:paraId="4CB8269B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– kupnja, gradnja, rekonstrukcija i dogradnja spremnika, pripadajućih lučkih i kopnenih postrojenja i instalacija te upravljanje njima.</w:t>
      </w:r>
    </w:p>
    <w:p w14:paraId="4FADF421" w14:textId="77777777" w:rsidR="001E4A60" w:rsidRP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3FF8C8" w14:textId="1DFFD509" w:rsidR="001E4A60" w:rsidRDefault="001E4A60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(4) Agencija može ostvarivati prihode i iz drugih izvora kao što su pomoći, donacije, sredstva iz fondova Europske unije i drugih sličnih fondova sukladno propisima, pod uvjetom da se time ne narušava njezina neovisnost.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7A9C6952" w14:textId="77777777" w:rsidR="00405862" w:rsidRPr="006037CE" w:rsidRDefault="00405862" w:rsidP="001E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02134F71" w14:textId="0CC2E418" w:rsidR="00DD5F18" w:rsidRPr="006037CE" w:rsidRDefault="007419F1" w:rsidP="0074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517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Pr="0060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39DB602B" w14:textId="77777777" w:rsidR="00330C37" w:rsidRPr="006037CE" w:rsidRDefault="00330C37" w:rsidP="0053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051B5B" w14:textId="13C991B6" w:rsidR="00DD5F18" w:rsidRPr="006037CE" w:rsidRDefault="00885BDA" w:rsidP="0088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Opći akti Agencije uskladit će se s Izmjenama Statuta Agencije za ugljikovodike u roku od </w:t>
      </w:r>
      <w:r w:rsidR="003A239E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 dana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njihova stupanja na snagu.</w:t>
      </w:r>
    </w:p>
    <w:p w14:paraId="2469C13A" w14:textId="77777777" w:rsidR="001E4A60" w:rsidRDefault="001E4A60" w:rsidP="001E4A6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D6E5BF" w14:textId="2F9AA905" w:rsidR="00885BDA" w:rsidRPr="006037CE" w:rsidRDefault="00885BDA" w:rsidP="002E74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517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60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63891F4" w14:textId="36E7A8D7" w:rsidR="00885BDA" w:rsidRPr="006037CE" w:rsidRDefault="00885BDA" w:rsidP="0088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(1) Izmjene</w:t>
      </w:r>
      <w:r w:rsidRPr="006037CE">
        <w:rPr>
          <w:rFonts w:ascii="Times New Roman" w:hAnsi="Times New Roman" w:cs="Times New Roman"/>
          <w:sz w:val="24"/>
          <w:szCs w:val="24"/>
        </w:rPr>
        <w:t xml:space="preserve">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Agencije za ugljikovodike donosi Upravno vijeće nakon </w:t>
      </w:r>
      <w:r w:rsidR="003A239E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pribavljene </w:t>
      </w:r>
      <w:r w:rsidR="009804CD"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prethodne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 Vlade Republike Hrvatske.</w:t>
      </w:r>
    </w:p>
    <w:p w14:paraId="4343EEA5" w14:textId="77777777" w:rsidR="00885BDA" w:rsidRPr="006037CE" w:rsidRDefault="00885BDA" w:rsidP="0088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701D7" w14:textId="70452302" w:rsidR="00885BDA" w:rsidRPr="006037CE" w:rsidRDefault="00885BDA" w:rsidP="0088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Izmjene</w:t>
      </w:r>
      <w:r w:rsidRPr="006037CE">
        <w:rPr>
          <w:rFonts w:ascii="Times New Roman" w:hAnsi="Times New Roman" w:cs="Times New Roman"/>
          <w:sz w:val="24"/>
          <w:szCs w:val="24"/>
        </w:rPr>
        <w:t xml:space="preserve">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Agencije za ugljikovodike stupaju na snagu </w:t>
      </w:r>
      <w:r w:rsid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>prvi dan nakon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objave na </w:t>
      </w:r>
      <w:r w:rsidR="001E4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internetskoj stranici i na </w:t>
      </w:r>
      <w:r w:rsidRPr="006037CE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oglasnoj ploči Agencije.</w:t>
      </w:r>
    </w:p>
    <w:p w14:paraId="137E5D0A" w14:textId="77777777" w:rsidR="00885BDA" w:rsidRPr="006037CE" w:rsidRDefault="00885BDA" w:rsidP="0053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40A7E" w14:textId="2F27C1A7" w:rsidR="00406CE3" w:rsidRPr="00450572" w:rsidRDefault="00406CE3" w:rsidP="0053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FC0585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8D37704" w14:textId="77777777" w:rsidR="00885BDA" w:rsidRPr="00450572" w:rsidRDefault="00885BDA" w:rsidP="0053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4CEED2" w14:textId="59E51222" w:rsidR="00885BDA" w:rsidRDefault="00406CE3" w:rsidP="0053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FC0585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F58D20" w14:textId="77777777" w:rsidR="002E7409" w:rsidRPr="00450572" w:rsidRDefault="002E7409" w:rsidP="0053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3B95E" w14:textId="087CE784" w:rsidR="00FF0E51" w:rsidRPr="00450572" w:rsidRDefault="00FF0E51" w:rsidP="0053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</w:t>
      </w:r>
      <w:r w:rsidR="00F753E6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74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xx. </w:t>
      </w:r>
      <w:proofErr w:type="spellStart"/>
      <w:r w:rsidR="002E7409">
        <w:rPr>
          <w:rFonts w:ascii="Times New Roman" w:eastAsia="Times New Roman" w:hAnsi="Times New Roman" w:cs="Times New Roman"/>
          <w:sz w:val="24"/>
          <w:szCs w:val="24"/>
          <w:lang w:eastAsia="hr-HR"/>
        </w:rPr>
        <w:t>xxxx</w:t>
      </w:r>
      <w:proofErr w:type="spellEnd"/>
      <w:r w:rsidR="002E74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</w:t>
      </w: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1E4A60" w:rsidRPr="00450572" w14:paraId="67EF858C" w14:textId="77777777" w:rsidTr="001E4A60">
        <w:tc>
          <w:tcPr>
            <w:tcW w:w="3396" w:type="dxa"/>
          </w:tcPr>
          <w:p w14:paraId="185AA16D" w14:textId="7E6EB48E" w:rsidR="001E4A60" w:rsidRPr="00450572" w:rsidRDefault="001E4A60" w:rsidP="001E4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05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Predsjednik Upravnog vijeća</w:t>
            </w:r>
          </w:p>
        </w:tc>
      </w:tr>
      <w:tr w:rsidR="001E4A60" w:rsidRPr="00450572" w14:paraId="2A20F38F" w14:textId="77777777" w:rsidTr="001E4A60">
        <w:tc>
          <w:tcPr>
            <w:tcW w:w="3396" w:type="dxa"/>
          </w:tcPr>
          <w:p w14:paraId="1A2847EA" w14:textId="270BABC3" w:rsidR="001E4A60" w:rsidRPr="00450572" w:rsidRDefault="002E7409" w:rsidP="001E4A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</w:t>
            </w:r>
            <w:r w:rsidRPr="002E74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 MILATIĆ</w:t>
            </w:r>
          </w:p>
          <w:p w14:paraId="36A1BED7" w14:textId="76230163" w:rsidR="001E4A60" w:rsidRPr="00450572" w:rsidRDefault="001E4A60" w:rsidP="001E4A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F93784" w14:textId="77777777" w:rsidR="001E4A60" w:rsidRPr="00450572" w:rsidRDefault="001E4A60" w:rsidP="001E4A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E3397A" w14:textId="66AF6372" w:rsidR="001E4A60" w:rsidRPr="00450572" w:rsidRDefault="001E4A60" w:rsidP="001E4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81F41EA" w14:textId="7030F056" w:rsidR="00B637A8" w:rsidRPr="00450572" w:rsidRDefault="00B637A8" w:rsidP="00E4148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753177A9" w14:textId="32964DBD" w:rsidR="00D672D0" w:rsidRPr="00450572" w:rsidRDefault="00D672D0" w:rsidP="00AD7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B31183D" w14:textId="571F716D" w:rsidR="00D672D0" w:rsidRPr="00450572" w:rsidRDefault="00AD729C" w:rsidP="00AD7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Ovim člankom usklađuju se djelatnosti Agencije sa Zakonom o izmjenama i dopunama zakona o osnivanju Agencije za ugljikovodike (Narodne novine, broj</w:t>
      </w:r>
      <w:r w:rsidR="001F6FF0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84/21</w:t>
      </w: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</w:t>
      </w:r>
      <w:r w:rsidR="00D73729"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sukladno Zakonu o istraživanju i eksploataciji ugljikovodika (Narodne novine, broj 52/18, 52/19 i 30/21).</w:t>
      </w:r>
    </w:p>
    <w:p w14:paraId="10A14831" w14:textId="77777777" w:rsidR="00AD729C" w:rsidRPr="00450572" w:rsidRDefault="00AD729C" w:rsidP="00AD72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C48D39" w14:textId="23A13800" w:rsidR="00AD729C" w:rsidRPr="00450572" w:rsidRDefault="00AD729C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DB6FAE8" w14:textId="36DC33C1" w:rsidR="00517C92" w:rsidRPr="00450572" w:rsidRDefault="00517C92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Ovim člankom usklađuje se poslovanje i načelo rada Agencije obzirom da ista u nadležnosti ima i geotermalne vode te geološke strukture pogodne za podzemno skladištenje plina i trajno zbrinjavanje ugljikova dioksida a koji resursi su dobra od interesa Republike Hrvatske.</w:t>
      </w:r>
    </w:p>
    <w:p w14:paraId="30B7A1B1" w14:textId="77777777" w:rsidR="00517C92" w:rsidRPr="00450572" w:rsidRDefault="00517C92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C7546" w14:textId="18391831" w:rsidR="00517C92" w:rsidRPr="00450572" w:rsidRDefault="00517C92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758121E0" w14:textId="2E8891C1" w:rsidR="002560D5" w:rsidRPr="002560D5" w:rsidRDefault="002560D5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572">
        <w:rPr>
          <w:rFonts w:ascii="Times New Roman" w:eastAsia="Times New Roman" w:hAnsi="Times New Roman" w:cs="Times New Roman"/>
          <w:sz w:val="24"/>
          <w:szCs w:val="24"/>
          <w:lang w:eastAsia="hr-HR"/>
        </w:rPr>
        <w:t>Ovim člankom usklađuje se sa Zakonom o izmjenama i dopunama Zakona o osnivanju Agencije odnosno produžuju se rokovi za podnošenje izvješća</w:t>
      </w:r>
      <w:r w:rsidRPr="00256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Vladi Republike Hrvatske, a koji su prekratki i nerealni.</w:t>
      </w:r>
    </w:p>
    <w:p w14:paraId="5B15F53D" w14:textId="77777777" w:rsidR="002560D5" w:rsidRPr="002560D5" w:rsidRDefault="002560D5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7841F" w14:textId="0227A6FB" w:rsidR="002560D5" w:rsidRDefault="002560D5" w:rsidP="00AD729C">
      <w:pPr>
        <w:pStyle w:val="NormalWeb"/>
        <w:spacing w:before="0" w:beforeAutospacing="0" w:after="0" w:afterAutospacing="0"/>
        <w:jc w:val="both"/>
        <w:rPr>
          <w:b/>
          <w:bCs/>
          <w:lang w:eastAsia="hr-HR"/>
        </w:rPr>
      </w:pPr>
      <w:r w:rsidRPr="00AD729C">
        <w:rPr>
          <w:b/>
          <w:bCs/>
          <w:lang w:eastAsia="hr-HR"/>
        </w:rPr>
        <w:t xml:space="preserve">Članak </w:t>
      </w:r>
      <w:r w:rsidR="00517C92">
        <w:rPr>
          <w:b/>
          <w:bCs/>
          <w:lang w:eastAsia="hr-HR"/>
        </w:rPr>
        <w:t>4</w:t>
      </w:r>
      <w:r>
        <w:rPr>
          <w:b/>
          <w:bCs/>
          <w:lang w:eastAsia="hr-HR"/>
        </w:rPr>
        <w:t>.</w:t>
      </w:r>
    </w:p>
    <w:p w14:paraId="1A0D4868" w14:textId="527B5A64" w:rsidR="00AD729C" w:rsidRDefault="00AD729C" w:rsidP="00AD729C">
      <w:pPr>
        <w:pStyle w:val="NormalWeb"/>
        <w:spacing w:before="0" w:beforeAutospacing="0" w:after="0" w:afterAutospacing="0"/>
        <w:jc w:val="both"/>
      </w:pPr>
      <w:r>
        <w:t xml:space="preserve">Ovim člankom se usklađuju </w:t>
      </w:r>
      <w:r w:rsidR="00203F2C">
        <w:t xml:space="preserve">ustrojstvene jedinice </w:t>
      </w:r>
      <w:r>
        <w:t xml:space="preserve">Agencije </w:t>
      </w:r>
      <w:r w:rsidR="00203F2C">
        <w:t xml:space="preserve">obzirom da su se </w:t>
      </w:r>
      <w:r>
        <w:t xml:space="preserve">sukladno Zakonu o </w:t>
      </w:r>
      <w:r w:rsidR="00203F2C">
        <w:t xml:space="preserve">izmjenama i dopunama zakona o osnivanju Agencije za ugljikovodike </w:t>
      </w:r>
      <w:r w:rsidR="00E40B7C">
        <w:t xml:space="preserve">(temeljem zadnje novele Zakona o istraživanju i eksploataciji ugljikovodika) </w:t>
      </w:r>
      <w:r>
        <w:t>dodatno prošir</w:t>
      </w:r>
      <w:r w:rsidR="00203F2C">
        <w:t>ile</w:t>
      </w:r>
      <w:r>
        <w:t xml:space="preserve"> djelatnosti Agencije u vidu </w:t>
      </w:r>
      <w:r w:rsidR="00D73729">
        <w:t xml:space="preserve">ovlasti Agencije da izvodi naftno-rudarske radove </w:t>
      </w:r>
      <w:r w:rsidR="00D73729" w:rsidRPr="006037CE">
        <w:rPr>
          <w:rFonts w:eastAsia="Calibri"/>
          <w:lang w:eastAsia="hr-HR"/>
        </w:rPr>
        <w:t>u svrhu ispitivanja geotermalnog potencijala</w:t>
      </w:r>
      <w:r w:rsidR="00D73729">
        <w:rPr>
          <w:rFonts w:eastAsia="Calibri"/>
          <w:lang w:eastAsia="hr-HR"/>
        </w:rPr>
        <w:t>,</w:t>
      </w:r>
      <w:r w:rsidR="00D73729" w:rsidRPr="006037CE">
        <w:rPr>
          <w:rFonts w:eastAsia="Calibri"/>
          <w:lang w:eastAsia="hr-HR"/>
        </w:rPr>
        <w:t xml:space="preserve"> </w:t>
      </w:r>
      <w:r>
        <w:t xml:space="preserve">sudjelovanja u postupku izmjena i dopuna prostornih planova te kao predlagatelja osnivanja razvojnog društva Vladi Republike Hrvatske. </w:t>
      </w:r>
    </w:p>
    <w:p w14:paraId="0A9F863E" w14:textId="48CB4FA8" w:rsidR="00AD729C" w:rsidRDefault="00E40B7C" w:rsidP="00AD729C">
      <w:pPr>
        <w:pStyle w:val="NormalWeb"/>
        <w:spacing w:before="0" w:beforeAutospacing="0" w:after="0" w:afterAutospacing="0"/>
        <w:jc w:val="both"/>
      </w:pPr>
      <w:r>
        <w:t>Također, s</w:t>
      </w:r>
      <w:r w:rsidR="00AD729C">
        <w:t xml:space="preserve"> obzirom na to da Republika Hrvatska u fokus svoje energetske politike stavlja ciljeve europske „zelene“ politike i razvoja </w:t>
      </w:r>
      <w:proofErr w:type="spellStart"/>
      <w:r w:rsidR="00AD729C">
        <w:t>niskougljičnog</w:t>
      </w:r>
      <w:proofErr w:type="spellEnd"/>
      <w:r w:rsidR="00AD729C">
        <w:t xml:space="preserve"> društva u vidu poticanja razvoja obnovljivih izvora energije i novih tehnologija uvedena je ovlast Agenciji za razvoj i primjenu novih održivih tehnologija korištenja obnovljivih izvora energije.</w:t>
      </w:r>
    </w:p>
    <w:p w14:paraId="3ABBC15D" w14:textId="5A5500F7" w:rsidR="0027298F" w:rsidRDefault="0027298F" w:rsidP="00AD729C">
      <w:pPr>
        <w:pStyle w:val="NormalWeb"/>
        <w:spacing w:before="0" w:beforeAutospacing="0" w:after="0" w:afterAutospacing="0"/>
        <w:jc w:val="both"/>
      </w:pPr>
      <w:r>
        <w:t>Osim navedenog, Agencij</w:t>
      </w:r>
      <w:r w:rsidR="00B3625A">
        <w:t>i</w:t>
      </w:r>
      <w:r>
        <w:t xml:space="preserve"> </w:t>
      </w:r>
      <w:r w:rsidR="00B3625A">
        <w:t xml:space="preserve">je, </w:t>
      </w:r>
      <w:r>
        <w:t>sukladno ciljevima i obvezama preuzetim iz Nacionalnog plana oporavka i o</w:t>
      </w:r>
      <w:r w:rsidR="00B3625A">
        <w:t>tpornosti (NPOO),</w:t>
      </w:r>
      <w:r>
        <w:t xml:space="preserve"> </w:t>
      </w:r>
      <w:r w:rsidR="00B3625A">
        <w:t>dodijeljena uloga provedbe geotermalnih projekata do 2026.</w:t>
      </w:r>
    </w:p>
    <w:p w14:paraId="30FBA9A0" w14:textId="74677C61" w:rsidR="00AD729C" w:rsidRPr="00E40B7C" w:rsidRDefault="00E40B7C" w:rsidP="00E40B7C">
      <w:pPr>
        <w:pStyle w:val="NormalWeb"/>
        <w:spacing w:before="0" w:beforeAutospacing="0" w:after="0" w:afterAutospacing="0"/>
        <w:jc w:val="both"/>
      </w:pPr>
      <w:r w:rsidRPr="00B3625A">
        <w:t xml:space="preserve">U tom smislu povećava se broj sektora unutar Agencije na način da </w:t>
      </w:r>
      <w:r w:rsidR="00B3625A" w:rsidRPr="00B3625A">
        <w:t xml:space="preserve">se ustrojavaju dva nova sektora; </w:t>
      </w:r>
      <w:r w:rsidRPr="00B3625A">
        <w:t xml:space="preserve">Sektor za </w:t>
      </w:r>
      <w:r w:rsidR="00DC0941" w:rsidRPr="00B3625A">
        <w:t>geotermalnu energiju</w:t>
      </w:r>
      <w:r w:rsidRPr="00B3625A">
        <w:t xml:space="preserve"> i Sektor za poslovni razvoj i nove tehnologije. Sektor za sigurnost i zaštitu okoliša </w:t>
      </w:r>
      <w:r w:rsidR="00B3625A" w:rsidRPr="00B3625A">
        <w:t>preimenovao se u</w:t>
      </w:r>
      <w:r w:rsidRPr="00B3625A">
        <w:t xml:space="preserve"> Sektor za </w:t>
      </w:r>
      <w:r w:rsidR="00DC0941" w:rsidRPr="00B3625A">
        <w:t xml:space="preserve">zaštitu </w:t>
      </w:r>
      <w:r w:rsidRPr="00B3625A">
        <w:t>okoliš</w:t>
      </w:r>
      <w:r w:rsidR="00DC0941" w:rsidRPr="00B3625A">
        <w:t>a</w:t>
      </w:r>
      <w:r w:rsidRPr="00B3625A">
        <w:t xml:space="preserve"> i prostor</w:t>
      </w:r>
      <w:r w:rsidR="00DC0941" w:rsidRPr="00B3625A">
        <w:t>no uređenje</w:t>
      </w:r>
      <w:r w:rsidR="00B3625A" w:rsidRPr="00B3625A">
        <w:t xml:space="preserve"> te je preuzeo poslove iz domene prostornog planiranja</w:t>
      </w:r>
      <w:r w:rsidRPr="00B3625A">
        <w:t>.</w:t>
      </w:r>
    </w:p>
    <w:p w14:paraId="081B7E6A" w14:textId="21CD4E0D" w:rsidR="00083D0D" w:rsidRPr="00E40B7C" w:rsidRDefault="00083D0D" w:rsidP="00E40B7C">
      <w:pPr>
        <w:pStyle w:val="NormalWeb"/>
        <w:spacing w:before="0" w:beforeAutospacing="0" w:after="0" w:afterAutospacing="0"/>
        <w:jc w:val="both"/>
      </w:pPr>
    </w:p>
    <w:p w14:paraId="5C37FC46" w14:textId="4538E85A" w:rsidR="00083D0D" w:rsidRPr="008655D2" w:rsidRDefault="008655D2" w:rsidP="00E40B7C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655D2">
        <w:rPr>
          <w:b/>
          <w:bCs/>
        </w:rPr>
        <w:t xml:space="preserve">Članak </w:t>
      </w:r>
      <w:r w:rsidR="00517C92">
        <w:rPr>
          <w:b/>
          <w:bCs/>
        </w:rPr>
        <w:t>5</w:t>
      </w:r>
      <w:r w:rsidRPr="008655D2">
        <w:rPr>
          <w:b/>
          <w:bCs/>
        </w:rPr>
        <w:t>.</w:t>
      </w:r>
    </w:p>
    <w:p w14:paraId="211253E4" w14:textId="5004EDF9" w:rsidR="008655D2" w:rsidRDefault="008655D2" w:rsidP="008655D2">
      <w:pPr>
        <w:pStyle w:val="NormalWeb"/>
        <w:spacing w:before="0" w:beforeAutospacing="0" w:after="0" w:afterAutospacing="0"/>
        <w:jc w:val="both"/>
      </w:pPr>
      <w:r>
        <w:t xml:space="preserve">Ovim člankom predviđa se usklađenje sa Zakonom o izmjenama i dopunama Zakona o osnivanju Agencije odnosno </w:t>
      </w:r>
      <w:r w:rsidR="00B3568D">
        <w:t xml:space="preserve">sa </w:t>
      </w:r>
      <w:r>
        <w:t>Zakonom o sustavu državne uprave te se propisuje sastav Upravnog vijeća u koje će, pored državnih dužnosnika, moći biti imenovani i rukovodeći državni službenici sa stručnim znanjima iz područja energetike i gospodarstva ili predstavnici znanstvene i stručne javnosti iz područja energetike i gospodarstva. Također, briše se rečenica temeljem koje se članovi iz tijela državne uprave biraju na prijedlog čelnika tog tijela, s obzirom na to da se isto podrazumijeva.</w:t>
      </w:r>
    </w:p>
    <w:p w14:paraId="531705C9" w14:textId="54D8D30F" w:rsidR="008655D2" w:rsidRDefault="008655D2" w:rsidP="00E40B7C">
      <w:pPr>
        <w:pStyle w:val="NormalWeb"/>
        <w:spacing w:before="0" w:beforeAutospacing="0" w:after="0" w:afterAutospacing="0"/>
        <w:jc w:val="both"/>
      </w:pPr>
    </w:p>
    <w:p w14:paraId="1D25D293" w14:textId="53556975" w:rsidR="008655D2" w:rsidRPr="008655D2" w:rsidRDefault="008655D2" w:rsidP="00E40B7C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655D2">
        <w:rPr>
          <w:b/>
          <w:bCs/>
        </w:rPr>
        <w:t xml:space="preserve">Uz članak </w:t>
      </w:r>
      <w:r w:rsidR="00517C92">
        <w:rPr>
          <w:b/>
          <w:bCs/>
        </w:rPr>
        <w:t>6</w:t>
      </w:r>
      <w:r w:rsidRPr="008655D2">
        <w:rPr>
          <w:b/>
          <w:bCs/>
        </w:rPr>
        <w:t>.</w:t>
      </w:r>
    </w:p>
    <w:p w14:paraId="0469BC6B" w14:textId="39D37DF7" w:rsidR="008655D2" w:rsidRDefault="008655D2" w:rsidP="008655D2">
      <w:pPr>
        <w:pStyle w:val="NormalWeb"/>
        <w:spacing w:before="0" w:beforeAutospacing="0" w:after="0" w:afterAutospacing="0"/>
        <w:jc w:val="both"/>
      </w:pPr>
      <w:r>
        <w:t>Ovim člankom se usklađuje sa</w:t>
      </w:r>
      <w:r w:rsidRPr="008655D2">
        <w:t xml:space="preserve"> </w:t>
      </w:r>
      <w:r>
        <w:t>Zakonom o izmjenama i dopunama Zakona o osnivanju Agencije odnosno ispravljaju se nedostaci u pogledu izvora financiranja Agencije.</w:t>
      </w:r>
    </w:p>
    <w:p w14:paraId="676E050C" w14:textId="77777777" w:rsidR="008655D2" w:rsidRDefault="008655D2" w:rsidP="008655D2">
      <w:pPr>
        <w:pStyle w:val="NormalWeb"/>
        <w:spacing w:before="0" w:beforeAutospacing="0" w:after="0" w:afterAutospacing="0"/>
        <w:jc w:val="both"/>
      </w:pPr>
    </w:p>
    <w:p w14:paraId="5A250DFD" w14:textId="77777777" w:rsidR="002E7409" w:rsidRDefault="002E7409" w:rsidP="00E40B7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649A09FA" w14:textId="77777777" w:rsidR="002E7409" w:rsidRDefault="002E7409" w:rsidP="00E40B7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73276DC" w14:textId="6DE42631" w:rsidR="008655D2" w:rsidRDefault="008655D2" w:rsidP="00E40B7C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655D2">
        <w:rPr>
          <w:b/>
          <w:bCs/>
        </w:rPr>
        <w:t xml:space="preserve">Uz članak </w:t>
      </w:r>
      <w:r w:rsidR="00517C92">
        <w:rPr>
          <w:b/>
          <w:bCs/>
        </w:rPr>
        <w:t>7</w:t>
      </w:r>
      <w:r w:rsidRPr="008655D2">
        <w:rPr>
          <w:b/>
          <w:bCs/>
        </w:rPr>
        <w:t>.</w:t>
      </w:r>
    </w:p>
    <w:p w14:paraId="4614773B" w14:textId="275CFAF0" w:rsidR="008655D2" w:rsidRPr="008655D2" w:rsidRDefault="008655D2" w:rsidP="00E40B7C">
      <w:pPr>
        <w:pStyle w:val="NormalWeb"/>
        <w:spacing w:before="0" w:beforeAutospacing="0" w:after="0" w:afterAutospacing="0"/>
        <w:jc w:val="both"/>
      </w:pPr>
      <w:r w:rsidRPr="008655D2">
        <w:t>Ovim člankom propisuje se rok u kojem se opći akti Agencije moraju uskladiti sa izmjenama Statuta.</w:t>
      </w:r>
    </w:p>
    <w:p w14:paraId="7D553DC4" w14:textId="77777777" w:rsidR="008655D2" w:rsidRPr="008655D2" w:rsidRDefault="008655D2" w:rsidP="00E40B7C">
      <w:pPr>
        <w:pStyle w:val="NormalWeb"/>
        <w:spacing w:before="0" w:beforeAutospacing="0" w:after="0" w:afterAutospacing="0"/>
        <w:jc w:val="both"/>
      </w:pPr>
    </w:p>
    <w:p w14:paraId="11BC4D06" w14:textId="015FC3F0" w:rsidR="008655D2" w:rsidRDefault="008655D2" w:rsidP="00E40B7C">
      <w:pPr>
        <w:pStyle w:val="NormalWeb"/>
        <w:spacing w:before="0" w:beforeAutospacing="0" w:after="0" w:afterAutospacing="0"/>
        <w:jc w:val="both"/>
      </w:pPr>
      <w:r w:rsidRPr="008655D2">
        <w:rPr>
          <w:b/>
          <w:bCs/>
        </w:rPr>
        <w:t xml:space="preserve">Uz članak </w:t>
      </w:r>
      <w:r w:rsidR="00517C92">
        <w:rPr>
          <w:b/>
          <w:bCs/>
        </w:rPr>
        <w:t>8</w:t>
      </w:r>
      <w:r>
        <w:t>.</w:t>
      </w:r>
    </w:p>
    <w:p w14:paraId="1DC74190" w14:textId="3513A2BA" w:rsidR="008655D2" w:rsidRPr="00E40B7C" w:rsidRDefault="00B3568D" w:rsidP="00E40B7C">
      <w:pPr>
        <w:pStyle w:val="NormalWeb"/>
        <w:spacing w:before="0" w:beforeAutospacing="0" w:after="0" w:afterAutospacing="0"/>
        <w:jc w:val="both"/>
      </w:pPr>
      <w:r>
        <w:t>Ovim člankom p</w:t>
      </w:r>
      <w:r w:rsidR="008655D2">
        <w:t>ropisuje se postupak</w:t>
      </w:r>
      <w:r>
        <w:t xml:space="preserve"> donošenja</w:t>
      </w:r>
      <w:r w:rsidR="008655D2">
        <w:t xml:space="preserve"> i stupanj</w:t>
      </w:r>
      <w:r>
        <w:t>a</w:t>
      </w:r>
      <w:r w:rsidR="008655D2">
        <w:t xml:space="preserve"> na snagu izmjena Statuta Agencije za ugljikovodike.</w:t>
      </w:r>
    </w:p>
    <w:sectPr w:rsidR="008655D2" w:rsidRPr="00E40B7C" w:rsidSect="00C75334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18B53" w14:textId="77777777" w:rsidR="00C03675" w:rsidRDefault="00C03675" w:rsidP="00E41482">
      <w:pPr>
        <w:spacing w:after="0" w:line="240" w:lineRule="auto"/>
      </w:pPr>
      <w:r>
        <w:separator/>
      </w:r>
    </w:p>
  </w:endnote>
  <w:endnote w:type="continuationSeparator" w:id="0">
    <w:p w14:paraId="264FFDFE" w14:textId="77777777" w:rsidR="00C03675" w:rsidRDefault="00C03675" w:rsidP="00E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847514"/>
      <w:docPartObj>
        <w:docPartGallery w:val="Page Numbers (Bottom of Page)"/>
        <w:docPartUnique/>
      </w:docPartObj>
    </w:sdtPr>
    <w:sdtEndPr/>
    <w:sdtContent>
      <w:p w14:paraId="50AD068E" w14:textId="1FCBD182" w:rsidR="00E41482" w:rsidRDefault="00E41482" w:rsidP="00E4148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39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4B7F" w14:textId="77777777" w:rsidR="00C03675" w:rsidRDefault="00C03675" w:rsidP="00E41482">
      <w:pPr>
        <w:spacing w:after="0" w:line="240" w:lineRule="auto"/>
      </w:pPr>
      <w:r>
        <w:separator/>
      </w:r>
    </w:p>
  </w:footnote>
  <w:footnote w:type="continuationSeparator" w:id="0">
    <w:p w14:paraId="7D5A576B" w14:textId="77777777" w:rsidR="00C03675" w:rsidRDefault="00C03675" w:rsidP="00E4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70F"/>
    <w:multiLevelType w:val="multilevel"/>
    <w:tmpl w:val="F7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DEB"/>
    <w:multiLevelType w:val="hybridMultilevel"/>
    <w:tmpl w:val="AF0E1F06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45F12"/>
    <w:multiLevelType w:val="hybridMultilevel"/>
    <w:tmpl w:val="1E58835C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D46EC"/>
    <w:multiLevelType w:val="hybridMultilevel"/>
    <w:tmpl w:val="60181500"/>
    <w:lvl w:ilvl="0" w:tplc="271849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8E5AFC"/>
    <w:multiLevelType w:val="hybridMultilevel"/>
    <w:tmpl w:val="F52C5DB8"/>
    <w:lvl w:ilvl="0" w:tplc="6F22C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424D"/>
    <w:multiLevelType w:val="hybridMultilevel"/>
    <w:tmpl w:val="8C6A3F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AC2EB2"/>
    <w:multiLevelType w:val="hybridMultilevel"/>
    <w:tmpl w:val="60EE0198"/>
    <w:lvl w:ilvl="0" w:tplc="19C4B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A380A"/>
    <w:multiLevelType w:val="hybridMultilevel"/>
    <w:tmpl w:val="181C3CB2"/>
    <w:lvl w:ilvl="0" w:tplc="041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583A"/>
    <w:multiLevelType w:val="multilevel"/>
    <w:tmpl w:val="C14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B0FAF"/>
    <w:multiLevelType w:val="hybridMultilevel"/>
    <w:tmpl w:val="5F1AE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E2464"/>
    <w:multiLevelType w:val="hybridMultilevel"/>
    <w:tmpl w:val="70E2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953C6"/>
    <w:multiLevelType w:val="hybridMultilevel"/>
    <w:tmpl w:val="371ED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B40"/>
    <w:multiLevelType w:val="hybridMultilevel"/>
    <w:tmpl w:val="7A8258F2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F7317"/>
    <w:multiLevelType w:val="hybridMultilevel"/>
    <w:tmpl w:val="33CA2292"/>
    <w:lvl w:ilvl="0" w:tplc="6E32ED1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85E23AC"/>
    <w:multiLevelType w:val="hybridMultilevel"/>
    <w:tmpl w:val="15500F12"/>
    <w:lvl w:ilvl="0" w:tplc="3A6467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253CAA"/>
    <w:multiLevelType w:val="hybridMultilevel"/>
    <w:tmpl w:val="260AB6F0"/>
    <w:lvl w:ilvl="0" w:tplc="906E6102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31F2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1893"/>
    <w:multiLevelType w:val="hybridMultilevel"/>
    <w:tmpl w:val="F98E5CF6"/>
    <w:lvl w:ilvl="0" w:tplc="754E9E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924EAC"/>
    <w:multiLevelType w:val="hybridMultilevel"/>
    <w:tmpl w:val="7090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669ED"/>
    <w:multiLevelType w:val="hybridMultilevel"/>
    <w:tmpl w:val="DA1A9654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11DE5"/>
    <w:multiLevelType w:val="hybridMultilevel"/>
    <w:tmpl w:val="255CC7A8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A120FF"/>
    <w:multiLevelType w:val="hybridMultilevel"/>
    <w:tmpl w:val="FDA40656"/>
    <w:lvl w:ilvl="0" w:tplc="19C4B6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BF57D2E"/>
    <w:multiLevelType w:val="hybridMultilevel"/>
    <w:tmpl w:val="4A7A8BAE"/>
    <w:lvl w:ilvl="0" w:tplc="0902E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51B4A"/>
    <w:multiLevelType w:val="hybridMultilevel"/>
    <w:tmpl w:val="31FC0B08"/>
    <w:lvl w:ilvl="0" w:tplc="041A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E6F0397"/>
    <w:multiLevelType w:val="multilevel"/>
    <w:tmpl w:val="A8A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22901"/>
    <w:multiLevelType w:val="hybridMultilevel"/>
    <w:tmpl w:val="ACAE0CC4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30584"/>
    <w:multiLevelType w:val="hybridMultilevel"/>
    <w:tmpl w:val="8BFA7B6E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8F73B9"/>
    <w:multiLevelType w:val="hybridMultilevel"/>
    <w:tmpl w:val="E4DEA19A"/>
    <w:lvl w:ilvl="0" w:tplc="32DA43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D5AA3"/>
    <w:multiLevelType w:val="hybridMultilevel"/>
    <w:tmpl w:val="C4463D4A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4481F"/>
    <w:multiLevelType w:val="hybridMultilevel"/>
    <w:tmpl w:val="312E2FBC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15F81"/>
    <w:multiLevelType w:val="hybridMultilevel"/>
    <w:tmpl w:val="33D855F2"/>
    <w:lvl w:ilvl="0" w:tplc="19C4B6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C021F8E"/>
    <w:multiLevelType w:val="hybridMultilevel"/>
    <w:tmpl w:val="75B4DB04"/>
    <w:lvl w:ilvl="0" w:tplc="041A0017">
      <w:start w:val="1"/>
      <w:numFmt w:val="lowerLetter"/>
      <w:lvlText w:val="%1)"/>
      <w:lvlJc w:val="left"/>
      <w:pPr>
        <w:ind w:left="1077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D1E2B0F"/>
    <w:multiLevelType w:val="hybridMultilevel"/>
    <w:tmpl w:val="3DEAC8F0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24"/>
  </w:num>
  <w:num w:numId="5">
    <w:abstractNumId w:val="13"/>
  </w:num>
  <w:num w:numId="6">
    <w:abstractNumId w:val="30"/>
  </w:num>
  <w:num w:numId="7">
    <w:abstractNumId w:val="31"/>
  </w:num>
  <w:num w:numId="8">
    <w:abstractNumId w:val="22"/>
  </w:num>
  <w:num w:numId="9">
    <w:abstractNumId w:val="6"/>
  </w:num>
  <w:num w:numId="10">
    <w:abstractNumId w:val="9"/>
  </w:num>
  <w:num w:numId="11">
    <w:abstractNumId w:val="14"/>
  </w:num>
  <w:num w:numId="12">
    <w:abstractNumId w:val="10"/>
  </w:num>
  <w:num w:numId="13">
    <w:abstractNumId w:val="3"/>
  </w:num>
  <w:num w:numId="14">
    <w:abstractNumId w:val="25"/>
  </w:num>
  <w:num w:numId="15">
    <w:abstractNumId w:val="5"/>
  </w:num>
  <w:num w:numId="16">
    <w:abstractNumId w:val="17"/>
  </w:num>
  <w:num w:numId="17">
    <w:abstractNumId w:val="1"/>
  </w:num>
  <w:num w:numId="18">
    <w:abstractNumId w:val="19"/>
  </w:num>
  <w:num w:numId="19">
    <w:abstractNumId w:val="28"/>
  </w:num>
  <w:num w:numId="20">
    <w:abstractNumId w:val="27"/>
  </w:num>
  <w:num w:numId="21">
    <w:abstractNumId w:val="2"/>
  </w:num>
  <w:num w:numId="22">
    <w:abstractNumId w:val="29"/>
  </w:num>
  <w:num w:numId="23">
    <w:abstractNumId w:val="20"/>
  </w:num>
  <w:num w:numId="24">
    <w:abstractNumId w:val="4"/>
  </w:num>
  <w:num w:numId="25">
    <w:abstractNumId w:val="7"/>
  </w:num>
  <w:num w:numId="26">
    <w:abstractNumId w:val="23"/>
  </w:num>
  <w:num w:numId="27">
    <w:abstractNumId w:val="15"/>
  </w:num>
  <w:num w:numId="28">
    <w:abstractNumId w:val="0"/>
  </w:num>
  <w:num w:numId="29">
    <w:abstractNumId w:val="8"/>
  </w:num>
  <w:num w:numId="30">
    <w:abstractNumId w:val="21"/>
  </w:num>
  <w:num w:numId="31">
    <w:abstractNumId w:val="2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D0"/>
    <w:rsid w:val="00016471"/>
    <w:rsid w:val="000165B8"/>
    <w:rsid w:val="00066A14"/>
    <w:rsid w:val="00083D0D"/>
    <w:rsid w:val="00097828"/>
    <w:rsid w:val="000B58D7"/>
    <w:rsid w:val="000E19A2"/>
    <w:rsid w:val="000F387A"/>
    <w:rsid w:val="00110AA4"/>
    <w:rsid w:val="00127279"/>
    <w:rsid w:val="00131E1C"/>
    <w:rsid w:val="00150246"/>
    <w:rsid w:val="00150EC6"/>
    <w:rsid w:val="00153070"/>
    <w:rsid w:val="00165342"/>
    <w:rsid w:val="00170285"/>
    <w:rsid w:val="001751B6"/>
    <w:rsid w:val="001756F2"/>
    <w:rsid w:val="00175FF4"/>
    <w:rsid w:val="00185385"/>
    <w:rsid w:val="001B51D6"/>
    <w:rsid w:val="001C47F2"/>
    <w:rsid w:val="001D07D1"/>
    <w:rsid w:val="001D6142"/>
    <w:rsid w:val="001E3165"/>
    <w:rsid w:val="001E4A60"/>
    <w:rsid w:val="001F6FF0"/>
    <w:rsid w:val="00202CD5"/>
    <w:rsid w:val="00203F2C"/>
    <w:rsid w:val="00215EE8"/>
    <w:rsid w:val="00220516"/>
    <w:rsid w:val="0022634D"/>
    <w:rsid w:val="002519C3"/>
    <w:rsid w:val="002560D5"/>
    <w:rsid w:val="00257A69"/>
    <w:rsid w:val="0027298F"/>
    <w:rsid w:val="00272A5E"/>
    <w:rsid w:val="00296FD0"/>
    <w:rsid w:val="002E2266"/>
    <w:rsid w:val="002E7409"/>
    <w:rsid w:val="0031175B"/>
    <w:rsid w:val="00330C37"/>
    <w:rsid w:val="00343217"/>
    <w:rsid w:val="00351A38"/>
    <w:rsid w:val="00353560"/>
    <w:rsid w:val="00367899"/>
    <w:rsid w:val="0038724F"/>
    <w:rsid w:val="003A137C"/>
    <w:rsid w:val="003A239E"/>
    <w:rsid w:val="003A7A5A"/>
    <w:rsid w:val="003D1F0B"/>
    <w:rsid w:val="00405862"/>
    <w:rsid w:val="00406CE3"/>
    <w:rsid w:val="00410464"/>
    <w:rsid w:val="0041439A"/>
    <w:rsid w:val="00421453"/>
    <w:rsid w:val="0042243F"/>
    <w:rsid w:val="004329D6"/>
    <w:rsid w:val="00445B64"/>
    <w:rsid w:val="00446172"/>
    <w:rsid w:val="00447FF3"/>
    <w:rsid w:val="00450572"/>
    <w:rsid w:val="00451EB6"/>
    <w:rsid w:val="0045300E"/>
    <w:rsid w:val="0045604A"/>
    <w:rsid w:val="00456AD1"/>
    <w:rsid w:val="00457098"/>
    <w:rsid w:val="00466C69"/>
    <w:rsid w:val="00492592"/>
    <w:rsid w:val="004D281C"/>
    <w:rsid w:val="004E6041"/>
    <w:rsid w:val="004E6D3F"/>
    <w:rsid w:val="004F301A"/>
    <w:rsid w:val="004F673C"/>
    <w:rsid w:val="00505277"/>
    <w:rsid w:val="00517C92"/>
    <w:rsid w:val="0053173A"/>
    <w:rsid w:val="005329DE"/>
    <w:rsid w:val="00536049"/>
    <w:rsid w:val="0055493D"/>
    <w:rsid w:val="005824DF"/>
    <w:rsid w:val="005A13C0"/>
    <w:rsid w:val="005A4F35"/>
    <w:rsid w:val="005C3A1C"/>
    <w:rsid w:val="005D0AB1"/>
    <w:rsid w:val="005D11D1"/>
    <w:rsid w:val="006035A7"/>
    <w:rsid w:val="006037CE"/>
    <w:rsid w:val="00611674"/>
    <w:rsid w:val="006239B6"/>
    <w:rsid w:val="0062641C"/>
    <w:rsid w:val="00644F91"/>
    <w:rsid w:val="006741F7"/>
    <w:rsid w:val="006774E1"/>
    <w:rsid w:val="00692344"/>
    <w:rsid w:val="00695D75"/>
    <w:rsid w:val="006B7F02"/>
    <w:rsid w:val="006C111E"/>
    <w:rsid w:val="006C1A74"/>
    <w:rsid w:val="006E1560"/>
    <w:rsid w:val="00706506"/>
    <w:rsid w:val="00720558"/>
    <w:rsid w:val="0072505D"/>
    <w:rsid w:val="0072751B"/>
    <w:rsid w:val="00731DBE"/>
    <w:rsid w:val="00736B7C"/>
    <w:rsid w:val="007419F1"/>
    <w:rsid w:val="00747557"/>
    <w:rsid w:val="00751DC7"/>
    <w:rsid w:val="0075402A"/>
    <w:rsid w:val="0076714F"/>
    <w:rsid w:val="00783DC0"/>
    <w:rsid w:val="007B1BB6"/>
    <w:rsid w:val="007E3D7C"/>
    <w:rsid w:val="007F2D19"/>
    <w:rsid w:val="007F4DD0"/>
    <w:rsid w:val="00807280"/>
    <w:rsid w:val="00814E45"/>
    <w:rsid w:val="00822504"/>
    <w:rsid w:val="00861923"/>
    <w:rsid w:val="008655D2"/>
    <w:rsid w:val="00885BDA"/>
    <w:rsid w:val="00896EBB"/>
    <w:rsid w:val="008A68E2"/>
    <w:rsid w:val="008C4849"/>
    <w:rsid w:val="008D7BD9"/>
    <w:rsid w:val="008E7BCA"/>
    <w:rsid w:val="008F3969"/>
    <w:rsid w:val="008F5DAB"/>
    <w:rsid w:val="008F7024"/>
    <w:rsid w:val="0090199D"/>
    <w:rsid w:val="00903988"/>
    <w:rsid w:val="00906606"/>
    <w:rsid w:val="00913D1B"/>
    <w:rsid w:val="00940F94"/>
    <w:rsid w:val="009804CD"/>
    <w:rsid w:val="00992607"/>
    <w:rsid w:val="009A14E5"/>
    <w:rsid w:val="009A2CFC"/>
    <w:rsid w:val="009C36A9"/>
    <w:rsid w:val="009C7FB6"/>
    <w:rsid w:val="009E7E01"/>
    <w:rsid w:val="009F5712"/>
    <w:rsid w:val="00A05A4A"/>
    <w:rsid w:val="00A100CE"/>
    <w:rsid w:val="00A23091"/>
    <w:rsid w:val="00A3113F"/>
    <w:rsid w:val="00A33F16"/>
    <w:rsid w:val="00A71F6F"/>
    <w:rsid w:val="00AC55DD"/>
    <w:rsid w:val="00AD729C"/>
    <w:rsid w:val="00AE0BCA"/>
    <w:rsid w:val="00B04EE4"/>
    <w:rsid w:val="00B26031"/>
    <w:rsid w:val="00B305AE"/>
    <w:rsid w:val="00B3568D"/>
    <w:rsid w:val="00B3625A"/>
    <w:rsid w:val="00B36C08"/>
    <w:rsid w:val="00B637A8"/>
    <w:rsid w:val="00B72C17"/>
    <w:rsid w:val="00B759C3"/>
    <w:rsid w:val="00B929FD"/>
    <w:rsid w:val="00BA46D4"/>
    <w:rsid w:val="00BC3B6B"/>
    <w:rsid w:val="00BC716D"/>
    <w:rsid w:val="00BC7F1B"/>
    <w:rsid w:val="00BD63F2"/>
    <w:rsid w:val="00BF087E"/>
    <w:rsid w:val="00BF3EAC"/>
    <w:rsid w:val="00C03675"/>
    <w:rsid w:val="00C064B8"/>
    <w:rsid w:val="00C63059"/>
    <w:rsid w:val="00C677CF"/>
    <w:rsid w:val="00C75334"/>
    <w:rsid w:val="00C82368"/>
    <w:rsid w:val="00C835EB"/>
    <w:rsid w:val="00C929AD"/>
    <w:rsid w:val="00CB4A1D"/>
    <w:rsid w:val="00CB5693"/>
    <w:rsid w:val="00CB6DB3"/>
    <w:rsid w:val="00CC751A"/>
    <w:rsid w:val="00CE348C"/>
    <w:rsid w:val="00CF3BA6"/>
    <w:rsid w:val="00CF6517"/>
    <w:rsid w:val="00D004B5"/>
    <w:rsid w:val="00D1574C"/>
    <w:rsid w:val="00D247D9"/>
    <w:rsid w:val="00D45F98"/>
    <w:rsid w:val="00D672D0"/>
    <w:rsid w:val="00D73729"/>
    <w:rsid w:val="00D761D4"/>
    <w:rsid w:val="00D80EEC"/>
    <w:rsid w:val="00D84D76"/>
    <w:rsid w:val="00D93296"/>
    <w:rsid w:val="00DA6FFB"/>
    <w:rsid w:val="00DB5CE5"/>
    <w:rsid w:val="00DC0941"/>
    <w:rsid w:val="00DC6215"/>
    <w:rsid w:val="00DD5F18"/>
    <w:rsid w:val="00DF0B52"/>
    <w:rsid w:val="00E045FE"/>
    <w:rsid w:val="00E13856"/>
    <w:rsid w:val="00E327A9"/>
    <w:rsid w:val="00E40B7C"/>
    <w:rsid w:val="00E41482"/>
    <w:rsid w:val="00E53D2D"/>
    <w:rsid w:val="00E6270C"/>
    <w:rsid w:val="00E837EB"/>
    <w:rsid w:val="00E83869"/>
    <w:rsid w:val="00E845E3"/>
    <w:rsid w:val="00E902FC"/>
    <w:rsid w:val="00E91455"/>
    <w:rsid w:val="00EA54C0"/>
    <w:rsid w:val="00EE16DC"/>
    <w:rsid w:val="00EF0761"/>
    <w:rsid w:val="00EF4385"/>
    <w:rsid w:val="00F23E13"/>
    <w:rsid w:val="00F45FED"/>
    <w:rsid w:val="00F46A52"/>
    <w:rsid w:val="00F4790E"/>
    <w:rsid w:val="00F56F66"/>
    <w:rsid w:val="00F6202A"/>
    <w:rsid w:val="00F74FE7"/>
    <w:rsid w:val="00F753E6"/>
    <w:rsid w:val="00F81B51"/>
    <w:rsid w:val="00FB4941"/>
    <w:rsid w:val="00FC0585"/>
    <w:rsid w:val="00FD4A7D"/>
    <w:rsid w:val="00FE4152"/>
    <w:rsid w:val="00FE4D9F"/>
    <w:rsid w:val="00FE58F2"/>
    <w:rsid w:val="00FF0E51"/>
    <w:rsid w:val="00FF58D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EEF2"/>
  <w15:docId w15:val="{62817E2C-9537-402F-9732-CA9EFB54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51"/>
    <w:pPr>
      <w:ind w:left="720"/>
      <w:contextualSpacing/>
    </w:pPr>
  </w:style>
  <w:style w:type="paragraph" w:customStyle="1" w:styleId="box455252">
    <w:name w:val="box_455252"/>
    <w:basedOn w:val="Normal"/>
    <w:rsid w:val="008F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3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17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82"/>
  </w:style>
  <w:style w:type="paragraph" w:styleId="Footer">
    <w:name w:val="footer"/>
    <w:basedOn w:val="Normal"/>
    <w:link w:val="FooterChar"/>
    <w:uiPriority w:val="99"/>
    <w:unhideWhenUsed/>
    <w:rsid w:val="00E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82"/>
  </w:style>
  <w:style w:type="table" w:styleId="TableGrid">
    <w:name w:val="Table Grid"/>
    <w:basedOn w:val="TableNormal"/>
    <w:uiPriority w:val="59"/>
    <w:rsid w:val="001E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/8-2"/>
    <w:rsid w:val="00695D7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AZJMDCZ6QSYZ-1849078857-10652</_dlc_DocId>
    <_dlc_DocIdUrl xmlns="a494813a-d0d8-4dad-94cb-0d196f36ba15">
      <Url>https://ekoordinacije.vlada.hr/koordinacija-gospodarstvo/_layouts/15/DocIdRedir.aspx?ID=AZJMDCZ6QSYZ-1849078857-10652</Url>
      <Description>AZJMDCZ6QSYZ-1849078857-10652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6D62-8300-4A93-9F3A-55AB9506C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B66A8-D9C1-4912-A2B9-32D8679C0A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DBF88C-98C2-4581-A2A1-85FD09380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15611-02CD-4B43-A8D7-DC7DFC93CAD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B3E2B9FC-59E5-42EC-9337-4EE0EC38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3947</Words>
  <Characters>22502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Mladar</dc:creator>
  <cp:lastModifiedBy>Kristian Baranček</cp:lastModifiedBy>
  <cp:revision>3</cp:revision>
  <cp:lastPrinted>2021-07-21T10:31:00Z</cp:lastPrinted>
  <dcterms:created xsi:type="dcterms:W3CDTF">2021-10-27T06:46:00Z</dcterms:created>
  <dcterms:modified xsi:type="dcterms:W3CDTF">2021-10-27T06:47:00Z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6268e990-8acf-4216-94f4-f0f6766afae8</vt:lpwstr>
  </property>
</Properties>
</file>